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2026 Digital Operations Strategy - Source Brief</w:t>
      </w:r>
    </w:p>
    <w:p>
      <w:pPr>
        <w:pStyle w:val="Heading1"/>
      </w:pPr>
      <w:r>
        <w:t>Strategic Context</w:t>
      </w:r>
    </w:p>
    <w:p>
      <w:r>
        <w:t>WinTrust is prioritizing operational resilience, faster issue resolution, better data quality, and responsible adoption of generative AI.</w:t>
      </w:r>
    </w:p>
    <w:p>
      <w:pPr>
        <w:pStyle w:val="Heading1"/>
      </w:pPr>
      <w:r>
        <w:t>Business Signals</w:t>
      </w:r>
    </w:p>
    <w:p>
      <w:r>
        <w:t>Customer expectations for faster resolution are increasing. Operations teams report repetitive triage and documentation work. Data teams report inconsistent definitions and recurring quality exceptions.</w:t>
      </w:r>
    </w:p>
    <w:p>
      <w:pPr>
        <w:pStyle w:val="Heading1"/>
      </w:pPr>
      <w:r>
        <w:t>Constraints</w:t>
      </w:r>
    </w:p>
    <w:p>
      <w:r>
        <w:t>The organization requires auditability for material decisions, human approval for high-impact changes, and clear ownership for AI-enabled workflows.</w:t>
      </w:r>
    </w:p>
    <w:p>
      <w:pPr>
        <w:pStyle w:val="Heading1"/>
      </w:pPr>
      <w:r>
        <w:t>Leadership Question</w:t>
      </w:r>
    </w:p>
    <w:p>
      <w:r>
        <w:t>Where can GenAI create measurable productivity or quality gains without weakening operational controls?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