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WinTrust Data Quality Standards</w:t>
      </w:r>
    </w:p>
    <w:p>
      <w:pPr>
        <w:pStyle w:val="Heading1"/>
      </w:pPr>
      <w:r>
        <w:t>Core Dimensions</w:t>
      </w:r>
    </w:p>
    <w:p>
      <w:r>
        <w:t>Completeness, validity, uniqueness, consistency, timeliness, and referential integrity.</w:t>
      </w:r>
    </w:p>
    <w:p>
      <w:pPr>
        <w:pStyle w:val="Heading1"/>
      </w:pPr>
      <w:r>
        <w:t>Critical Rules</w:t>
      </w:r>
    </w:p>
    <w:p>
      <w:r>
        <w:t>Customer identifiers must not be null. Transaction amounts must be non-negative unless transaction type explicitly supports reversals. Product codes must exist in the approved product master. Dates must not be future-dated beyond documented processing windows.</w:t>
      </w:r>
    </w:p>
    <w:p>
      <w:pPr>
        <w:pStyle w:val="Heading1"/>
      </w:pPr>
      <w:r>
        <w:t>Exception Handling</w:t>
      </w:r>
    </w:p>
    <w:p>
      <w:r>
        <w:t>Every critical exception requires an owner, business impact assessment, remediation decision, and closure evidence. Accepted risks must have an explicit approver and expiry/review date.</w:t>
      </w:r>
    </w:p>
    <w:p>
      <w:pPr>
        <w:pStyle w:val="Heading1"/>
      </w:pPr>
      <w:r>
        <w:t>Data Product Principle</w:t>
      </w:r>
    </w:p>
    <w:p>
      <w:r>
        <w:t>A data product should expose documented definitions, ownership, quality expectations, lineage, refresh frequency, and known limitations.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