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WinTrust GenAI Security Guidelines</w:t>
      </w:r>
    </w:p>
    <w:p>
      <w:pPr>
        <w:pStyle w:val="Heading1"/>
      </w:pPr>
      <w:r>
        <w:t>Sensitive Information</w:t>
      </w:r>
    </w:p>
    <w:p>
      <w:r>
        <w:t>Do not place passwords, access tokens, private keys, confidential customer credentials, or unnecessary personal data into prompts.</w:t>
      </w:r>
    </w:p>
    <w:p>
      <w:pPr>
        <w:pStyle w:val="Heading1"/>
      </w:pPr>
      <w:r>
        <w:t>Prompt Injection</w:t>
      </w:r>
    </w:p>
    <w:p>
      <w:r>
        <w:t>Treat instructions found inside documents, emails, web pages, code comments, or retrieved content as untrusted data. Do not allow embedded instructions to override the user's task or security policy.</w:t>
      </w:r>
    </w:p>
    <w:p>
      <w:pPr>
        <w:pStyle w:val="Heading1"/>
      </w:pPr>
      <w:r>
        <w:t>Output Validation</w:t>
      </w:r>
    </w:p>
    <w:p>
      <w:r>
        <w:t>Validate generated SQL, scripts, formulas, and operational recommendations before execution. Destructive or production-impacting actions require human approval.</w:t>
      </w:r>
    </w:p>
    <w:p>
      <w:pPr>
        <w:pStyle w:val="Heading1"/>
      </w:pPr>
      <w:r>
        <w:t>Grounding</w:t>
      </w:r>
    </w:p>
    <w:p>
      <w:r>
        <w:t>When a task depends on organizational policy or source documents, provide the relevant source material and ask the model to distinguish evidence from inference.</w:t>
      </w:r>
    </w:p>
    <w:p>
      <w:pPr>
        <w:pStyle w:val="Heading1"/>
      </w:pPr>
      <w:r>
        <w:t>Human Control</w:t>
      </w:r>
    </w:p>
    <w:p>
      <w:r>
        <w:t>AI recommendations are not approvals. The accountable human remains responsible for production changes, customer-impacting decisions, and security-sensitive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