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WinTrust 2026 Digital Operations Strategy - Source Brief</w:t>
      </w:r>
    </w:p>
    <w:p>
      <w:pPr>
        <w:pStyle w:val="Heading1"/>
      </w:pPr>
      <w:r>
        <w:t>Context</w:t>
      </w:r>
    </w:p>
    <w:p>
      <w:r>
        <w:t>WinTrust is prioritizing operational resilience, faster issue resolution, better data quality and responsible GenAI adoption.</w:t>
      </w:r>
    </w:p>
    <w:p>
      <w:pPr>
        <w:pStyle w:val="Heading1"/>
      </w:pPr>
      <w:r>
        <w:t>Signals</w:t>
      </w:r>
    </w:p>
    <w:p>
      <w:r>
        <w:t>Customers expect faster resolution. Operations reports repetitive triage/documentation. Data teams report inconsistent definitions and recurring quality exceptions.</w:t>
      </w:r>
    </w:p>
    <w:p>
      <w:pPr>
        <w:pStyle w:val="Heading1"/>
      </w:pPr>
      <w:r>
        <w:t>Constraints</w:t>
      </w:r>
    </w:p>
    <w:p>
      <w:r>
        <w:t>Material decisions require auditability. High-impact changes require human approval. AI-enabled workflows require clear ownership.</w:t>
      </w:r>
    </w:p>
    <w:p>
      <w:pPr>
        <w:pStyle w:val="Heading1"/>
      </w:pPr>
      <w:r>
        <w:t>Leadership Question</w:t>
      </w:r>
    </w:p>
    <w:p>
      <w:r>
        <w:t>Where can GenAI create measurable productivity or quality gains without weakening controls?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