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WinTrust Data Quality Standards</w:t>
      </w:r>
    </w:p>
    <w:p>
      <w:pPr>
        <w:pStyle w:val="Heading1"/>
      </w:pPr>
      <w:r>
        <w:t>Dimensions</w:t>
      </w:r>
    </w:p>
    <w:p>
      <w:r>
        <w:t>Completeness, validity, uniqueness, consistency, timeliness and referential integrity.</w:t>
      </w:r>
    </w:p>
    <w:p>
      <w:pPr>
        <w:pStyle w:val="Heading1"/>
      </w:pPr>
      <w:r>
        <w:t>Rules</w:t>
      </w:r>
    </w:p>
    <w:p>
      <w:r>
        <w:t>Customer identifiers must not be null. Transaction amounts must be non-negative unless reversal is explicitly supported. Product codes must exist in the product master. Dates must not be future-dated beyond documented processing windows.</w:t>
      </w:r>
    </w:p>
    <w:p>
      <w:pPr>
        <w:pStyle w:val="Heading1"/>
      </w:pPr>
      <w:r>
        <w:t>Exception Handling</w:t>
      </w:r>
    </w:p>
    <w:p>
      <w:r>
        <w:t>Critical exceptions require owner, business impact, remediation decision and closure evidence. Accepted risks require an approver and review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