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Operations SLA and Severity Policy</w:t>
      </w:r>
    </w:p>
    <w:p>
      <w:pPr>
        <w:pStyle w:val="Heading1"/>
      </w:pPr>
      <w:r>
        <w:t>Severity</w:t>
      </w:r>
    </w:p>
    <w:p>
      <w:r>
        <w:t>P1 Critical: material production impact to a Critical customer, widespread service unavailability, security-sensitive production impact, or business-critical process materially blocked.</w:t>
      </w:r>
    </w:p>
    <w:p>
      <w:r>
        <w:t>P2 High: significant degradation or limited outage with material customer/business impact, but viable workaround.</w:t>
      </w:r>
    </w:p>
    <w:p>
      <w:r>
        <w:t>P3 Medium: localized issue, limited functional degradation, or non-critical operational defect.</w:t>
      </w:r>
    </w:p>
    <w:p>
      <w:r>
        <w:t>P4 Low: informational request, cosmetic issue, documentation issue, or low-impact defect.</w:t>
      </w:r>
    </w:p>
    <w:p>
      <w:pPr>
        <w:pStyle w:val="Heading1"/>
      </w:pPr>
      <w:r>
        <w:t>Escalation</w:t>
      </w:r>
    </w:p>
    <w:p>
      <w:r>
        <w:t>P1 requires immediate incident-manager notification. P2 requires escalation when SLA is at risk or customer impact is increasing.</w:t>
      </w:r>
    </w:p>
    <w:p>
      <w:pPr>
        <w:pStyle w:val="Heading1"/>
      </w:pPr>
      <w:r>
        <w:t>Automation Boundary</w:t>
      </w:r>
    </w:p>
    <w:p>
      <w:r>
        <w:t>GenAI may summarize, classify, recommend, draft and generate scripts. It must not independently approve production changes, delete customer data, change security controls, or close a critical incident without human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