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Operations Triage Exercise Guide</w:t>
      </w:r>
    </w:p>
    <w:p>
      <w:r>
        <w:rPr>
          <w:b/>
        </w:rPr>
        <w:t xml:space="preserve">Training simulation only. </w:t>
      </w:r>
      <w:r>
        <w:t>Fictional material, not an approved WinTrust production policy or procedure.</w:t>
      </w:r>
    </w:p>
    <w:p>
      <w:pPr>
        <w:pStyle w:val="Heading1"/>
      </w:pPr>
      <w:r>
        <w:t>Purpose</w:t>
      </w:r>
    </w:p>
    <w:p>
      <w:r>
        <w:t>Use this synthetic ticket export to create a consistent triage summary. This guide is an exercise aid, not an approved incident management process.</w:t>
      </w:r>
    </w:p>
    <w:p>
      <w:pPr>
        <w:pStyle w:val="Heading1"/>
      </w:pPr>
      <w:r>
        <w:t>Exercise definitions</w:t>
      </w:r>
    </w:p>
    <w:p>
      <w:r>
        <w:t>For this exercise only, an SLA breach occurs when elapsed_minutes is strictly greater than sla_target_minutes. Equality is not a breach. P1 is escalated to the incident lead; P2 requires prompt owning-team review. These are training rules only.</w:t>
      </w:r>
    </w:p>
    <w:p>
      <w:pPr>
        <w:pStyle w:val="Heading1"/>
      </w:pPr>
      <w:r>
        <w:t>Data quality checks</w:t>
      </w:r>
    </w:p>
    <w:p>
      <w:r>
        <w:t>A valid ticket requires a nonblank ticket_id, nonblank description, severity P1 through P4, nonnegative elapsed_minutes, and positive sla_target_minutes. Flag invalid records for review rather than silently repairing them.</w:t>
      </w:r>
    </w:p>
    <w:p>
      <w:pPr>
        <w:pStyle w:val="Heading1"/>
      </w:pPr>
      <w:r>
        <w:t>Required output</w:t>
      </w:r>
    </w:p>
    <w:p>
      <w:r>
        <w:t>For each ticket, return ticket_id, service, normalized severity, sla_breached, escalation_recommended, reason_codes, evidence_used, and human_review_required. Do not invent root causes or assert resolution.</w:t>
      </w:r>
    </w:p>
    <w:p>
      <w:pPr>
        <w:pStyle w:val="Heading1"/>
      </w:pPr>
      <w:r>
        <w:t>Safety boundaries</w:t>
      </w:r>
    </w:p>
    <w:p>
      <w:r>
        <w:t>Read-only exercise. Do not update tickets, contact users, restart services, disable controls, or execute commands. Separate confirmed facts from hypotheses and list missing evidence.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