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API Latency Investigation (Exercise)</w:t>
      </w:r>
    </w:p>
    <w:p>
      <w:r>
        <w:rPr>
          <w:b/>
        </w:rPr>
        <w:t xml:space="preserve">Training simulation only. </w:t>
      </w:r>
      <w:r>
        <w:t>Fictional material, not an approved WinTrust production policy or procedure.</w:t>
      </w:r>
    </w:p>
    <w:p>
      <w:pPr>
        <w:pStyle w:val="Heading1"/>
      </w:pPr>
      <w:r>
        <w:t>Trigger</w:t>
      </w:r>
    </w:p>
    <w:p>
      <w:r>
        <w:t>Use when an API latency alert or elevated HTTP 5xx rate is reported.</w:t>
      </w:r>
    </w:p>
    <w:p>
      <w:pPr>
        <w:pStyle w:val="Heading1"/>
      </w:pPr>
      <w:r>
        <w:t>Initial evidence collection</w:t>
      </w:r>
    </w:p>
    <w:p>
      <w:r>
        <w:t>Capture alert time, service and endpoint, latency percentiles, error rate, request volume, recent deployment/change identifiers, dependency health, and relevant time window. Use approved read-only dashboards and logs.</w:t>
      </w:r>
    </w:p>
    <w:p>
      <w:pPr>
        <w:pStyle w:val="Heading1"/>
      </w:pPr>
      <w:r>
        <w:t>Decision points</w:t>
      </w:r>
    </w:p>
    <w:p>
      <w:r>
        <w:t>If customer impact is confirmed and errors are increasing, escalate to the incident lead. If a recent change temporally correlates with symptoms, compare metrics before and after it; timing alone does not prove causation. If a dependency is unhealthy, collect dependency evidence and contact its owner through the approved process.</w:t>
      </w:r>
    </w:p>
    <w:p>
      <w:pPr>
        <w:pStyle w:val="Heading1"/>
      </w:pPr>
      <w:r>
        <w:t>Actions requiring authorization</w:t>
      </w:r>
    </w:p>
    <w:p>
      <w:r>
        <w:t>Rollback, restart, scaling changes, traffic shifting, terminating sessions, deleting files, disabling retries, or modifying production configuration require applicable authorization. This exercise grants no authorization.</w:t>
      </w:r>
    </w:p>
    <w:p>
      <w:pPr>
        <w:pStyle w:val="Heading1"/>
      </w:pPr>
      <w:r>
        <w:t>Do not do</w:t>
      </w:r>
    </w:p>
    <w:p>
      <w:r>
        <w:t>Do not infer root cause from one metric. Do not delete logs or evidence. Do not replay transactions or disable controls without explicit approval and integrity checks.</w:t>
      </w:r>
    </w:p>
    <w:p>
      <w:pPr>
        <w:pStyle w:val="Heading1"/>
      </w:pPr>
      <w:r>
        <w:t>Exit criteria</w:t>
      </w:r>
    </w:p>
    <w:p>
      <w:r>
        <w:t>Record observed metrics, evidence references, hypotheses, diagnostics, decisions and approvals. Close only when the authorized process confirms recovery and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