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 Track: Risk Review and Safe Redesign</w:t>
      </w:r>
    </w:p>
    <w:p>
      <w:pPr>
        <w:jc w:val="center"/>
      </w:pPr>
      <w:r>
        <w:rPr>
          <w:i/>
        </w:rPr>
        <w:t>Session 7 MC-III | Track-specific lab case</w:t>
      </w:r>
    </w:p>
    <w:p>
      <w:r>
        <w:t>TRAINING SIMULATION | Fictional WinTrust materials | Not formal policy or production authorization</w:t>
      </w:r>
    </w:p>
    <w:p>
      <w:pPr>
        <w:pStyle w:val="Heading1"/>
      </w:pPr>
      <w:r>
        <w:t>Scenario</w:t>
      </w:r>
    </w:p>
    <w:p>
      <w:r>
        <w:t>The Data team is reviewing transaction-quality exceptions before downstream reconciliation. The AI-generated recommendation proposes automatic fixes, but the evidence does not establish the required business rules. All examples are synthetic.</w:t>
      </w:r>
    </w:p>
    <w:p>
      <w:pPr>
        <w:pStyle w:val="Heading1"/>
      </w:pPr>
      <w:r>
        <w:t>Exception sample</w:t>
      </w:r>
    </w:p>
    <w:p>
      <w:pPr>
        <w:pStyle w:val="ListBullet"/>
      </w:pPr>
      <w:r>
        <w:t>DQ-201 | transaction TX-8102 | amount=1250 | currency=NULL | suggested fix: set currency to INR. Source-system currency and settlement evidence are missing.</w:t>
      </w:r>
    </w:p>
    <w:p>
      <w:pPr>
        <w:pStyle w:val="ListBullet"/>
      </w:pPr>
      <w:r>
        <w:t>DQ-202 | transaction TX-8107 | product_code=PAYX | suggested fix: map PAYX to PAY. Approved reference mapping is missing.</w:t>
      </w:r>
    </w:p>
    <w:p>
      <w:pPr>
        <w:pStyle w:val="ListBullet"/>
      </w:pPr>
      <w:r>
        <w:t>DQ-203 | TX-8111 may resemble TX-8109 by customer, amount and date | suggested fix: delete TX-8111. Unique transaction keys, reversal rules and reconciliation evidence are missing.</w:t>
      </w:r>
    </w:p>
    <w:p>
      <w:pPr>
        <w:pStyle w:val="ListBullet"/>
      </w:pPr>
      <w:r>
        <w:t>DQ-204 | transaction TX-8120 | amount=-450 | transaction_type=NULL | suggested fix: change amount to 450. Transaction type, ledger evidence and refund/reversal rules are missing.</w:t>
      </w:r>
    </w:p>
    <w:p>
      <w:pPr>
        <w:pStyle w:val="ListBullet"/>
      </w:pPr>
      <w:r>
        <w:t>DQ-205 | transaction_id=NULL | customer_id=NULL | suggested fix: copy identifiers from the nearest matching row. Authoritative identity match and source of truth are missing.</w:t>
      </w:r>
    </w:p>
    <w:p>
      <w:pPr>
        <w:pStyle w:val="Heading1"/>
      </w:pPr>
      <w:r>
        <w:t>AI-generated remediation proposal</w:t>
      </w:r>
    </w:p>
    <w:p>
      <w:r>
        <w:t>“Apply the fixes automatically. Missing currency can default to INR, PAYX is obviously PAY, duplicate-looking transactions should be deleted, negative amounts should be made positive, and missing identifiers can be copied from nearby rows. These are routine corrections and do not need approval.”</w:t>
      </w:r>
    </w:p>
    <w:p>
      <w:pPr>
        <w:pStyle w:val="Heading1"/>
      </w:pPr>
      <w:r>
        <w:t>Review boundaries</w:t>
      </w:r>
    </w:p>
    <w:p>
      <w:pPr>
        <w:pStyle w:val="ListBullet"/>
      </w:pPr>
      <w:r>
        <w:t>Do not invent approved defaults, mappings, duplicate rules, transaction semantics, or identity matches.</w:t>
      </w:r>
    </w:p>
    <w:p>
      <w:pPr>
        <w:pStyle w:val="ListBullet"/>
      </w:pPr>
      <w:r>
        <w:t>Do not modify source data or claim a remediation was applied.</w:t>
      </w:r>
    </w:p>
    <w:p>
      <w:pPr>
        <w:pStyle w:val="ListBullet"/>
      </w:pPr>
      <w:r>
        <w:t>Distinguish a suspected exception from a confirmed rule violation.</w:t>
      </w:r>
    </w:p>
    <w:p>
      <w:pPr>
        <w:pStyle w:val="ListBullet"/>
      </w:pPr>
      <w:r>
        <w:t>Consider financial misstatement, reconciliation mismatch, incorrect product attribution, customer misidentification, and loss of auditability.</w:t>
      </w:r>
    </w:p>
    <w:p>
      <w:pPr>
        <w:pStyle w:val="ListBullet"/>
      </w:pPr>
      <w:r>
        <w:t>Recommend read-only checks, authoritative reference-data lookups, reconciliation, data-owner review, and approval where needed.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