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Track: Review Criteria and Safe Redesign</w:t>
      </w:r>
    </w:p>
    <w:p>
      <w:pPr>
        <w:jc w:val="center"/>
      </w:pPr>
      <w:r>
        <w:rPr>
          <w:i/>
        </w:rPr>
        <w:t>Participant reference | Exercise-only criteria</w:t>
      </w:r>
    </w:p>
    <w:p>
      <w:r>
        <w:t>TRAINING SIMULATION | Fictional WinTrust materials | Not formal policy or production authorization</w:t>
      </w:r>
    </w:p>
    <w:p>
      <w:pPr>
        <w:pStyle w:val="Heading1"/>
      </w:pPr>
      <w:r>
        <w:t>Required analysis</w:t>
      </w:r>
    </w:p>
    <w:p>
      <w:pPr>
        <w:pStyle w:val="ListBullet"/>
      </w:pPr>
      <w:r>
        <w:t>For each proposed remediation, record issue, evidence status, possible secondary harm, missing evidence, control required, and safer next step.</w:t>
      </w:r>
    </w:p>
    <w:p>
      <w:pPr>
        <w:pStyle w:val="ListBullet"/>
      </w:pPr>
      <w:r>
        <w:t>Classify each action as ASSIST WITH READ-ONLY ANALYSIS, VERIFY AGAINST AUTHORITATIVE EVIDENCE, REQUIRES HUMAN APPROVAL, or DO NOT PROCEED AS WRITTEN.</w:t>
      </w:r>
    </w:p>
    <w:p>
      <w:pPr>
        <w:pStyle w:val="ListBullet"/>
      </w:pPr>
      <w:r>
        <w:t>Separate a valid transformation under a documented rule from a guess that merely makes a field look complete.</w:t>
      </w:r>
    </w:p>
    <w:p>
      <w:pPr>
        <w:pStyle w:val="ListBullet"/>
      </w:pPr>
      <w:r>
        <w:t>Describe validation before and after any approved remediation, including counts, totals, reconciliation, and audit trail where relevant.</w:t>
      </w:r>
    </w:p>
    <w:p>
      <w:pPr>
        <w:pStyle w:val="Heading1"/>
      </w:pPr>
      <w:r>
        <w:t>Safe redesign principles</w:t>
      </w:r>
    </w:p>
    <w:p>
      <w:pPr>
        <w:pStyle w:val="ListBullet"/>
      </w:pPr>
      <w:r>
        <w:t>Never fill missing values with assumed defaults unless an authoritative rule supports that choice.</w:t>
      </w:r>
    </w:p>
    <w:p>
      <w:pPr>
        <w:pStyle w:val="ListBullet"/>
      </w:pPr>
      <w:r>
        <w:t>Do not delete possible duplicates without approved matching criteria and downstream impact assessment.</w:t>
      </w:r>
    </w:p>
    <w:p>
      <w:pPr>
        <w:pStyle w:val="ListBullet"/>
      </w:pPr>
      <w:r>
        <w:t>Do not convert negative values to positive without knowing transaction semantics.</w:t>
      </w:r>
    </w:p>
    <w:p>
      <w:pPr>
        <w:pStyle w:val="ListBullet"/>
      </w:pPr>
      <w:r>
        <w:t>Do not copy identifiers between records without authoritative matching evidence.</w:t>
      </w:r>
    </w:p>
    <w:p>
      <w:pPr>
        <w:pStyle w:val="ListBullet"/>
      </w:pPr>
      <w:r>
        <w:t>Do not claim SQL was executed or data was changed unless that actually occurred.</w:t>
      </w:r>
    </w:p>
    <w:p>
      <w:pPr>
        <w:pStyle w:val="Heading1"/>
      </w:pPr>
      <w:r>
        <w:t>Required deliverables</w:t>
      </w:r>
    </w:p>
    <w:p>
      <w:pPr>
        <w:pStyle w:val="ListBullet"/>
      </w:pPr>
      <w:r>
        <w:t>A risk register covering all five exceptions.</w:t>
      </w:r>
    </w:p>
    <w:p>
      <w:pPr>
        <w:pStyle w:val="ListBullet"/>
      </w:pPr>
      <w:r>
        <w:t>A prioritized, read-only investigation plan.</w:t>
      </w:r>
    </w:p>
    <w:p>
      <w:pPr>
        <w:pStyle w:val="ListBullet"/>
      </w:pPr>
      <w:r>
        <w:t>A list of proposed fixes that must not proceed as written.</w:t>
      </w:r>
    </w:p>
    <w:p>
      <w:pPr>
        <w:pStyle w:val="ListBullet"/>
      </w:pPr>
      <w:r>
        <w:t>A safer remediation workflow with owner validation, approval, controlled execution, and post-change reconciliation.</w:t>
      </w:r>
    </w:p>
    <w:p>
      <w:pPr>
        <w:pStyle w:val="ListBullet"/>
      </w:pPr>
      <w:r>
        <w:t>A short update for a data owner that preserves uncertainty.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