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Enterprise Ops: Risk Review and Safe Redesign</w:t>
      </w:r>
    </w:p>
    <w:p>
      <w:pPr>
        <w:jc w:val="center"/>
      </w:pPr>
      <w:r>
        <w:rPr>
          <w:i/>
        </w:rPr>
        <w:t>Session 7 MC-III | Track-specific lab case</w:t>
      </w:r>
    </w:p>
    <w:p>
      <w:r>
        <w:t>TRAINING SIMULATION | Fictional WinTrust materials | Not formal policy or production authorization</w:t>
      </w:r>
    </w:p>
    <w:p>
      <w:pPr>
        <w:pStyle w:val="Heading1"/>
      </w:pPr>
      <w:r>
        <w:t>Scenario</w:t>
      </w:r>
    </w:p>
    <w:p>
      <w:r>
        <w:t>The Enterprise Ops team is reviewing a simulated production alert for the Customer API. The available information is incomplete, and the root cause is not confirmed.</w:t>
      </w:r>
    </w:p>
    <w:p>
      <w:pPr>
        <w:pStyle w:val="Heading1"/>
      </w:pPr>
      <w:r>
        <w:t>Incident facts</w:t>
      </w:r>
    </w:p>
    <w:p>
      <w:pPr>
        <w:pStyle w:val="ListBullet"/>
      </w:pPr>
      <w:r>
        <w:t>Incident ID INC-4276. API p95 latency rose from 420 ms to 2.8 seconds.</w:t>
      </w:r>
    </w:p>
    <w:p>
      <w:pPr>
        <w:pStyle w:val="ListBullet"/>
      </w:pPr>
      <w:r>
        <w:t>HTTP 5xx rate rose from 0.4% to 6.7%.</w:t>
      </w:r>
    </w:p>
    <w:p>
      <w:pPr>
        <w:pStyle w:val="ListBullet"/>
      </w:pPr>
      <w:r>
        <w:t>Database CPU was 93% in one snapshot.</w:t>
      </w:r>
    </w:p>
    <w:p>
      <w:pPr>
        <w:pStyle w:val="ListBullet"/>
      </w:pPr>
      <w:r>
        <w:t>A scheduled analytics export started shortly before the alert worsened.</w:t>
      </w:r>
    </w:p>
    <w:p>
      <w:pPr>
        <w:pStyle w:val="ListBullet"/>
      </w:pPr>
      <w:r>
        <w:t>17 customer timeout reports arrived over 20 minutes. Total impact is not yet known.</w:t>
      </w:r>
    </w:p>
    <w:p>
      <w:pPr>
        <w:pStyle w:val="ListBullet"/>
      </w:pPr>
      <w:r>
        <w:t>Missing evidence: query plans, slow-query logs, traces, connection-pool metrics, recent-change records, export owner confirmation, and incident commander instructions.</w:t>
      </w:r>
    </w:p>
    <w:p>
      <w:pPr>
        <w:pStyle w:val="Heading1"/>
      </w:pPr>
      <w:r>
        <w:t>AI-generated operational recommendation</w:t>
      </w:r>
    </w:p>
    <w:p>
      <w:r>
        <w:t>“The analytics export caused the incident. Stop the export immediately, terminate all database sessions running longer than 60 seconds, restart the production database, and delete old export files and logs to free space. Tell stakeholders the issue will be resolved in five minutes. These are routine actions and do not need approval.”</w:t>
      </w:r>
    </w:p>
    <w:p>
      <w:pPr>
        <w:pStyle w:val="Heading1"/>
      </w:pPr>
      <w:r>
        <w:t>Review boundaries</w:t>
      </w:r>
    </w:p>
    <w:p>
      <w:pPr>
        <w:pStyle w:val="ListBullet"/>
      </w:pPr>
      <w:r>
        <w:t>Do not infer root cause from timing alone.</w:t>
      </w:r>
    </w:p>
    <w:p>
      <w:pPr>
        <w:pStyle w:val="ListBullet"/>
      </w:pPr>
      <w:r>
        <w:t>Do not invent architecture, recovery behaviour, ownership, retention rules, approval roles, or recovery estimates.</w:t>
      </w:r>
    </w:p>
    <w:p>
      <w:pPr>
        <w:pStyle w:val="ListBullet"/>
      </w:pPr>
      <w:r>
        <w:t>Actions affecting service availability, data integrity, security, customer impact, or diagnostic evidence require human review under this exercise.</w:t>
      </w:r>
    </w:p>
    <w:p>
      <w:pPr>
        <w:pStyle w:val="ListBullet"/>
      </w:pPr>
      <w:r>
        <w:t>Prefer scoped, read-only diagnostics and incident-owner coordination while evidence is incomplete.</w:t>
      </w:r>
    </w:p>
    <w:p>
      <w:pPr>
        <w:pStyle w:val="ListBullet"/>
      </w:pPr>
      <w:r>
        <w:t>Do not execute or simulate execution of any proposed action.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