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Enterprise Ops: Review Criteria and Safe Redesign</w:t>
      </w:r>
    </w:p>
    <w:p>
      <w:pPr>
        <w:jc w:val="center"/>
      </w:pPr>
      <w:r>
        <w:rPr>
          <w:i/>
        </w:rPr>
        <w:t>Participant reference | Exercise-only criteria</w:t>
      </w:r>
    </w:p>
    <w:p>
      <w:r>
        <w:t>TRAINING SIMULATION | Fictional WinTrust materials | Not formal policy or production authorization</w:t>
      </w:r>
    </w:p>
    <w:p>
      <w:pPr>
        <w:pStyle w:val="Heading1"/>
      </w:pPr>
      <w:r>
        <w:t>Required analysis</w:t>
      </w:r>
    </w:p>
    <w:p>
      <w:pPr>
        <w:pStyle w:val="ListBullet"/>
      </w:pPr>
      <w:r>
        <w:t>Review every proposed action and stakeholder claim.</w:t>
      </w:r>
    </w:p>
    <w:p>
      <w:pPr>
        <w:pStyle w:val="ListBullet"/>
      </w:pPr>
      <w:r>
        <w:t>Separate confirmed facts, hypotheses, and unknowns.</w:t>
      </w:r>
    </w:p>
    <w:p>
      <w:pPr>
        <w:pStyle w:val="ListBullet"/>
      </w:pPr>
      <w:r>
        <w:t>Identify potential availability, data-integrity, security, customer, and auditability impacts.</w:t>
      </w:r>
    </w:p>
    <w:p>
      <w:pPr>
        <w:pStyle w:val="ListBullet"/>
      </w:pPr>
      <w:r>
        <w:t>Classify each action as READ-ONLY DIAGNOSTIC, LOW-RISK REVERSIBLE, REQUIRES HUMAN APPROVAL, or DO NOT PROCEED AS WRITTEN.</w:t>
      </w:r>
    </w:p>
    <w:p>
      <w:pPr>
        <w:pStyle w:val="ListBullet"/>
      </w:pPr>
      <w:r>
        <w:t>Identify missing evidence, preconditions, owner/approval, recovery or rollback considerations, and post-action verification.</w:t>
      </w:r>
    </w:p>
    <w:p>
      <w:pPr>
        <w:pStyle w:val="Heading1"/>
      </w:pPr>
      <w:r>
        <w:t>Safe redesign principles</w:t>
      </w:r>
    </w:p>
    <w:p>
      <w:pPr>
        <w:pStyle w:val="ListBullet"/>
      </w:pPr>
      <w:r>
        <w:t>Do not treat correlation as proof of cause.</w:t>
      </w:r>
    </w:p>
    <w:p>
      <w:pPr>
        <w:pStyle w:val="ListBullet"/>
      </w:pPr>
      <w:r>
        <w:t>Do not terminate broad sets of database sessions without evidence and authorization.</w:t>
      </w:r>
    </w:p>
    <w:p>
      <w:pPr>
        <w:pStyle w:val="ListBullet"/>
      </w:pPr>
      <w:r>
        <w:t>Do not restart a database without diagnosis, recovery considerations, and required approval.</w:t>
      </w:r>
    </w:p>
    <w:p>
      <w:pPr>
        <w:pStyle w:val="ListBullet"/>
      </w:pPr>
      <w:r>
        <w:t>Do not delete logs or export files without need and retention/diagnostic review.</w:t>
      </w:r>
    </w:p>
    <w:p>
      <w:pPr>
        <w:pStyle w:val="ListBullet"/>
      </w:pPr>
      <w:r>
        <w:t>Do not promise a recovery time without a supported estimate.</w:t>
      </w:r>
    </w:p>
    <w:p>
      <w:pPr>
        <w:pStyle w:val="ListBullet"/>
      </w:pPr>
      <w:r>
        <w:t>Start with scoped, read-only diagnostics and coordinate through the authorized incident process.</w:t>
      </w:r>
    </w:p>
    <w:p>
      <w:pPr>
        <w:pStyle w:val="Heading1"/>
      </w:pPr>
      <w:r>
        <w:t>Required deliverables</w:t>
      </w:r>
    </w:p>
    <w:p>
      <w:pPr>
        <w:pStyle w:val="ListBullet"/>
      </w:pPr>
      <w:r>
        <w:t>A risk register for each action.</w:t>
      </w:r>
    </w:p>
    <w:p>
      <w:pPr>
        <w:pStyle w:val="ListBullet"/>
      </w:pPr>
      <w:r>
        <w:t>A safer sequence of diagnostic and coordination steps.</w:t>
      </w:r>
    </w:p>
    <w:p>
      <w:pPr>
        <w:pStyle w:val="ListBullet"/>
      </w:pPr>
      <w:r>
        <w:t>A list of actions that must not proceed as written.</w:t>
      </w:r>
    </w:p>
    <w:p>
      <w:pPr>
        <w:pStyle w:val="ListBullet"/>
      </w:pPr>
      <w:r>
        <w:t>A revised stakeholder update that states what is known and unknown without promising a recovery time.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