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Future of Wealth: Residential Real Estate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As the General Partner at Reawaken Capital, I am thrilled to share insights into the burgeoning opportunities within residential real estate investment and how our unique approach is setting a new standard in the sector.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Resilience of Residential Real Estate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appeal of residential real estate investment is timeless. It represents not only a necessity—the fundamental need for shelter—but also a robust investment avenue that has demonstrated resilience and growth across economic cycles. At Reawaken Capital, we perceive residential real estate as a cornerstone of stable, long-term investment portfolios, offering a blend of capital appreciation and consistent rental yields.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Strategic Investment with Reawaken Capital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Our approach to residential real estate investment is deeply strategic, focusing on value creation and long-term wealth generation. Here's how we stand out: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Market Insight and Data-Driven Decisions: We employ sophisticated market analysis and data-driven strategies to identify promising residential properties. Our in-depth understanding of market dynamics allows us to invest in locations with high growth potential, ensuring our investments are poised for appreciation and strong rental demand.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Value Enhancement: Beyond acquisition, we specialize in enhancing property value through strategic renovations, upgrades, and management efficiencies. This not only boosts the property's market value but also its appeal to tenants, maximizing rental income and occupancy rates.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Diversification and Risk Management: By investing in a variety of residential properties across different geographies and segments, we mitigate risks and capitalize on diverse market conditions. This diversification is a core principle at Reawaken Capital, ensuring our portfolio's resilience against market volatilities.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Experienced Management: Our team's expertise in real estate investment, development, and management translates into meticulous oversight of each asset. We handle all aspects of property management, from tenant relations to maintenance, ensuring that each investment achieves its maximum potential.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Reawaken Capital Advantage: Building Legacies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Choosing to invest with Reawaken Capital means partnering with a firm that views real estate as a legacy-building endeavor. We are committed to creating enduring value for our investors, leveraging real estate's tangible nature to build assets that stand the test of time.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Our investors benefit from: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Stable Cash Flows: Through strategic acquisitions and active management, we aim to generate consistent rental income, providing our investors with stable cash flows.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Appreciation Potential: Our focus on property value enhancement positions our portfolio for significant capital appreciation, amplifying long-term returns.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Tax Efficiency: Real estate investing offers various tax advantages, including deductions and depreciation, which can significantly enhance net returns.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Inflation Hedge: Residential real estate naturally aligns with inflationary trends, with property values and rents typically rising in tandem with inflation, preserving investment value.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Join Us on the Journey to Prosperity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At Reawaken Capital, we are not just investing in properties; we are investing in futures, in communities, and in legacies. We invite you to join us on this journey, where your investments empower you to build a legacy of wealth and impact.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For those ready to explore the advantages of residential real estate investment and seek a partnership aligned with growth and legacy building, Reawaken Capital stands as your ideal ally.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Dylan Peters</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