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Understanding the Long-Term Value of Residential Real Estate Investment</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the realm of investment opportunities, residential real estate stands out for its unique blend of stability, profitability, and potential for long-term value appreciation. While the allure of quick gains in stocks or cryptocurrencies may tempt some investors, the enduring wealth-building power of residential real estate investment offers a compelling case for those seeking sustained growth. This blog delves into the core aspects that contribute to the long-term value of investing in residential real estate.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Tangible Asset with Intrinsic Value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Unlike stocks or digital assets, real estate is a tangible asset, providing inherent value that can be leveraged regardless of market conditions. A property's physical presence ensures that it retains intrinsic worth—a fundamental factor that underpins its long-term investment appeal. Whether the market is bullish or bearish, real estate continues to serve a basic human need: shelter. This enduring demand underscores the asset's stability and growth potential over time.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Appreciation and Wealth Accumulation</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Historically, real estate values have shown a consistent upward trajectory, outpacing inflation and offering investors significant appreciation over the long haul. This appreciation is driven by factors such as population growth, urbanization, and economic development, which increase demand for housing and, consequently, property values. By holding onto real estate assets for the long term, investors can benefit from this appreciation, accumulating substantial wealth in the process.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Rental Income and Cash Flow</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Investing in residential real estate provides the dual benefit of capital appreciation and rental income. By acquiring income-generating properties, investors can secure a steady stream of cash flow through rental payments. Over time, as rental rates increase with inflation and demand, so does the rental income, enhancing the property's yield and contributing to the investor's overall returns. This ongoing income can help investors build equity, reinvest in additional properties, or fund other financial goals.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Inflation Hedging</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Real estate's intrinsic value and income-generating potential make it an effective hedge against inflation. As the cost of living rises, so do property values and rental rates, allowing real estate investments to maintain their purchasing power and protect investors from inflationary pressures. This characteristic is particularly appealing for long-term investors looking to preserve their wealth over decades.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Tax Advantages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Real estate investment offers several tax benefits that can enhance its long-term value. These include deductions for mortgage interest, property taxes, operating expenses, and depreciation. Additionally, strategies like 1031 exchanges allow investors to defer capital gains taxes when they reinvest proceeds from a property sale into another investment property, further maximizing their long-term financial growth.</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Diversification</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Incorporating residential real estate into an investment portfolio provides diversification, reducing overall risk. Real estate often exhibits low correlation with other asset classes, meaning its value doesn't necessarily move in tandem with stock or bond markets. This diversification can stabilize an investor's portfolio, particularly during times of market volatility, reinforcing the case for real estate as a long-term investment.</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Conclusion</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The long-term value of residential real estate investment lies in its ability to offer stable growth, passive income, inflation protection, and diversification, all underpinned by the tangible, intrinsic value of the property. For investors willing to adopt a patient, strategic approach, real estate presents an opportunity not just to grow their wealth, but to build a lasting legacy. Whether you're a seasoned investor or considering your first property purchase, understanding these dynamics can help you unlock the full potential of real estate investment for years to come.</w:t>
      </w:r>
    </w:p>
    <w:p w:rsidR="00000000" w:rsidDel="00000000" w:rsidP="00000000" w:rsidRDefault="00000000" w:rsidRPr="00000000" w14:paraId="00000011">
      <w:pPr>
        <w:spacing w:after="240" w:before="240" w:lineRule="auto"/>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