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jc w:val="center"/>
        <w:rPr>
          <w:color w:val="auto"/>
          <w:sz w:val="30"/>
          <w:szCs w:val="30"/>
        </w:rPr>
      </w:pPr>
      <w:r>
        <w:rPr>
          <w:color w:val="auto"/>
          <w:sz w:val="30"/>
          <w:szCs w:val="30"/>
        </w:rPr>
        <w:drawing>
          <wp:inline distT="0" distB="0" distL="0" distR="0">
            <wp:extent cx="2705735" cy="865505"/>
            <wp:effectExtent l="0" t="0" r="18415" b="10795"/>
            <wp:docPr id="1378027420" name="Picture 1378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7420" name="Picture 1378027420"/>
                    <pic:cNvPicPr>
                      <a:picLocks noChangeAspect="1" noChangeArrowheads="1"/>
                    </pic:cNvPicPr>
                  </pic:nvPicPr>
                  <pic:blipFill>
                    <a:blip r:embed="rId4"/>
                    <a:srcRect/>
                    <a:stretch>
                      <a:fillRect/>
                    </a:stretch>
                  </pic:blipFill>
                  <pic:spPr>
                    <a:xfrm>
                      <a:off x="0" y="0"/>
                      <a:ext cx="2705735" cy="865505"/>
                    </a:xfrm>
                    <a:prstGeom prst="rect">
                      <a:avLst/>
                    </a:prstGeom>
                  </pic:spPr>
                </pic:pic>
              </a:graphicData>
            </a:graphic>
          </wp:inline>
        </w:drawing>
      </w:r>
      <w:r>
        <w:rPr>
          <w:color w:val="auto"/>
          <w:sz w:val="30"/>
          <w:szCs w:val="30"/>
        </w:rPr>
        <w:drawing>
          <wp:inline distT="0" distB="0" distL="0" distR="0">
            <wp:extent cx="2873375" cy="919480"/>
            <wp:effectExtent l="0" t="0" r="317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2873375" cy="919480"/>
                    </a:xfrm>
                    <a:prstGeom prst="rect">
                      <a:avLst/>
                    </a:prstGeom>
                  </pic:spPr>
                </pic:pic>
              </a:graphicData>
            </a:graphic>
          </wp:inline>
        </w:drawing>
      </w:r>
    </w:p>
    <w:p>
      <w:pPr>
        <w:spacing w:after="300"/>
        <w:jc w:val="both"/>
        <w:rPr>
          <w:i/>
          <w:iCs/>
          <w:color w:val="auto"/>
          <w:sz w:val="24"/>
          <w:szCs w:val="24"/>
        </w:rPr>
      </w:pPr>
    </w:p>
    <w:p>
      <w:pPr>
        <w:spacing w:before="400" w:after="100"/>
        <w:jc w:val="center"/>
        <w:rPr>
          <w:color w:val="auto"/>
          <w:sz w:val="28"/>
          <w:szCs w:val="32"/>
        </w:rPr>
      </w:pPr>
      <w:r>
        <w:rPr>
          <w:b/>
          <w:bCs/>
          <w:color w:val="auto"/>
          <w:sz w:val="48"/>
          <w:szCs w:val="48"/>
        </w:rPr>
        <w:t>SCENARIO-BASED REQUIREMENT ANALYSIS</w:t>
      </w:r>
    </w:p>
    <w:p>
      <w:pPr>
        <w:spacing w:after="300"/>
        <w:jc w:val="center"/>
        <w:rPr>
          <w:b/>
          <w:bCs/>
          <w:color w:val="auto"/>
          <w:sz w:val="36"/>
          <w:szCs w:val="36"/>
        </w:rPr>
      </w:pPr>
      <w:r>
        <w:rPr>
          <w:b/>
          <w:bCs/>
          <w:color w:val="auto"/>
          <w:sz w:val="36"/>
          <w:szCs w:val="36"/>
        </w:rPr>
        <w:t>Software Requirement Specification (SRS) Document</w:t>
      </w:r>
    </w:p>
    <w:p>
      <w:pPr>
        <w:spacing w:after="300"/>
        <w:jc w:val="center"/>
        <w:rPr>
          <w:b/>
          <w:bCs/>
          <w:color w:val="auto"/>
          <w:sz w:val="36"/>
          <w:szCs w:val="36"/>
        </w:rPr>
      </w:pPr>
    </w:p>
    <w:p>
      <w:pPr>
        <w:spacing w:before="300" w:after="40"/>
        <w:jc w:val="center"/>
        <w:rPr>
          <w:rFonts w:hint="default"/>
          <w:color w:val="auto"/>
          <w:sz w:val="28"/>
          <w:szCs w:val="32"/>
          <w:lang w:val="en-US"/>
        </w:rPr>
      </w:pPr>
      <w:r>
        <w:rPr>
          <w:color w:val="auto"/>
          <w:sz w:val="36"/>
          <w:szCs w:val="36"/>
        </w:rPr>
        <w:t>CSA10</w:t>
      </w:r>
      <w:r>
        <w:rPr>
          <w:rFonts w:hint="default"/>
          <w:color w:val="auto"/>
          <w:sz w:val="36"/>
          <w:szCs w:val="36"/>
          <w:lang w:val="en-US"/>
        </w:rPr>
        <w:t>12</w:t>
      </w:r>
    </w:p>
    <w:p>
      <w:pPr>
        <w:spacing w:after="300"/>
        <w:jc w:val="center"/>
        <w:rPr>
          <w:b/>
          <w:bCs/>
          <w:color w:val="auto"/>
          <w:sz w:val="36"/>
          <w:szCs w:val="36"/>
        </w:rPr>
      </w:pPr>
      <w:r>
        <w:rPr>
          <w:b/>
          <w:bCs/>
          <w:color w:val="auto"/>
          <w:sz w:val="36"/>
          <w:szCs w:val="36"/>
        </w:rPr>
        <w:t>SOFTWARE ENGINEERING</w:t>
      </w:r>
    </w:p>
    <w:p>
      <w:pPr>
        <w:spacing w:after="300"/>
        <w:jc w:val="center"/>
        <w:rPr>
          <w:b/>
          <w:bCs/>
          <w:color w:val="auto"/>
          <w:sz w:val="36"/>
          <w:szCs w:val="36"/>
        </w:rPr>
      </w:pPr>
    </w:p>
    <w:p>
      <w:pPr>
        <w:spacing w:before="200" w:after="20"/>
        <w:jc w:val="center"/>
        <w:rPr>
          <w:color w:val="auto"/>
          <w:sz w:val="28"/>
          <w:szCs w:val="32"/>
        </w:rPr>
      </w:pPr>
      <w:r>
        <w:rPr>
          <w:b/>
          <w:bCs/>
          <w:color w:val="auto"/>
          <w:sz w:val="40"/>
          <w:szCs w:val="40"/>
        </w:rPr>
        <w:t>Cold-Chain Logistics Integrity Platform</w:t>
      </w:r>
    </w:p>
    <w:p>
      <w:pPr>
        <w:spacing w:after="500"/>
        <w:jc w:val="center"/>
        <w:rPr>
          <w:color w:val="auto"/>
          <w:sz w:val="36"/>
          <w:szCs w:val="36"/>
        </w:rPr>
      </w:pPr>
      <w:r>
        <w:rPr>
          <w:color w:val="auto"/>
          <w:sz w:val="36"/>
          <w:szCs w:val="36"/>
        </w:rPr>
        <w:t>(Food &amp; Pharma Distribution)</w:t>
      </w:r>
    </w:p>
    <w:p>
      <w:pPr>
        <w:spacing w:after="500"/>
        <w:jc w:val="center"/>
        <w:rPr>
          <w:color w:val="auto"/>
          <w:sz w:val="36"/>
          <w:szCs w:val="36"/>
        </w:rPr>
      </w:pPr>
    </w:p>
    <w:p>
      <w:pPr>
        <w:spacing w:before="700" w:after="40"/>
        <w:jc w:val="center"/>
        <w:rPr>
          <w:color w:val="auto"/>
          <w:sz w:val="28"/>
          <w:szCs w:val="32"/>
        </w:rPr>
      </w:pPr>
      <w:r>
        <w:rPr>
          <w:i/>
          <w:iCs/>
          <w:color w:val="auto"/>
          <w:sz w:val="32"/>
          <w:szCs w:val="32"/>
        </w:rPr>
        <w:t>Submitted By</w:t>
      </w:r>
    </w:p>
    <w:p>
      <w:pPr>
        <w:spacing w:after="200"/>
        <w:jc w:val="center"/>
        <w:rPr>
          <w:rFonts w:hint="default"/>
          <w:color w:val="auto"/>
          <w:sz w:val="28"/>
          <w:szCs w:val="32"/>
          <w:lang w:val="en-US"/>
        </w:rPr>
      </w:pPr>
      <w:r>
        <w:rPr>
          <w:rFonts w:hint="default"/>
          <w:color w:val="auto"/>
          <w:sz w:val="28"/>
          <w:szCs w:val="32"/>
          <w:lang w:val="en-US"/>
        </w:rPr>
        <w:t>E Ajay Velmail</w:t>
      </w:r>
    </w:p>
    <w:p>
      <w:pPr>
        <w:spacing w:after="40"/>
        <w:jc w:val="center"/>
        <w:rPr>
          <w:color w:val="auto"/>
          <w:sz w:val="28"/>
          <w:szCs w:val="32"/>
        </w:rPr>
      </w:pPr>
      <w:r>
        <w:rPr>
          <w:i/>
          <w:iCs/>
          <w:color w:val="auto"/>
          <w:sz w:val="32"/>
          <w:szCs w:val="32"/>
        </w:rPr>
        <w:t>Register Number</w:t>
      </w:r>
    </w:p>
    <w:p>
      <w:pPr>
        <w:spacing w:after="200"/>
        <w:jc w:val="center"/>
        <w:rPr>
          <w:rFonts w:hint="default"/>
          <w:color w:val="auto"/>
          <w:sz w:val="28"/>
          <w:szCs w:val="32"/>
          <w:lang w:val="en-US"/>
        </w:rPr>
      </w:pPr>
      <w:r>
        <w:rPr>
          <w:rFonts w:hint="default"/>
          <w:color w:val="auto"/>
          <w:sz w:val="28"/>
          <w:szCs w:val="32"/>
          <w:lang w:val="en-US"/>
        </w:rPr>
        <w:t>192311385</w:t>
      </w:r>
    </w:p>
    <w:p>
      <w:pPr>
        <w:spacing w:after="40"/>
        <w:jc w:val="center"/>
        <w:rPr>
          <w:color w:val="auto"/>
          <w:sz w:val="28"/>
          <w:szCs w:val="32"/>
        </w:rPr>
      </w:pPr>
      <w:r>
        <w:rPr>
          <w:i/>
          <w:iCs/>
          <w:color w:val="auto"/>
          <w:sz w:val="32"/>
          <w:szCs w:val="32"/>
        </w:rPr>
        <w:t>Department</w:t>
      </w:r>
    </w:p>
    <w:p>
      <w:pPr>
        <w:spacing w:after="40"/>
        <w:jc w:val="center"/>
        <w:rPr>
          <w:color w:val="auto"/>
          <w:sz w:val="28"/>
          <w:szCs w:val="32"/>
        </w:rPr>
      </w:pPr>
      <w:r>
        <w:rPr>
          <w:color w:val="auto"/>
          <w:sz w:val="36"/>
          <w:szCs w:val="36"/>
        </w:rPr>
        <w:t>B.E Computer Science and Engineering</w:t>
      </w:r>
    </w:p>
    <w:p>
      <w:pPr>
        <w:rPr>
          <w:color w:val="auto"/>
          <w:sz w:val="28"/>
          <w:szCs w:val="32"/>
        </w:rPr>
      </w:pPr>
      <w:r>
        <w:rPr>
          <w:color w:val="auto"/>
          <w:sz w:val="28"/>
          <w:szCs w:val="32"/>
        </w:rPr>
        <w:br w:type="page"/>
      </w:r>
    </w:p>
    <w:p>
      <w:pPr>
        <w:rPr>
          <w:color w:val="auto"/>
        </w:rPr>
        <w:sectPr>
          <w:pgSz w:w="11906" w:h="16838"/>
          <w:pgMar w:top="1440" w:right="1440" w:bottom="1440" w:left="1440" w:header="708" w:footer="708" w:gutter="0"/>
          <w:cols w:space="720" w:num="1"/>
          <w:docGrid w:linePitch="360" w:charSpace="0"/>
        </w:sectPr>
      </w:pPr>
    </w:p>
    <w:p>
      <w:pPr>
        <w:pStyle w:val="2"/>
        <w:spacing w:before="320" w:after="160"/>
        <w:rPr>
          <w:color w:val="auto"/>
        </w:rPr>
      </w:pPr>
      <w:r>
        <w:rPr>
          <w:b/>
          <w:bCs/>
          <w:color w:val="auto"/>
          <w:sz w:val="30"/>
          <w:szCs w:val="30"/>
        </w:rPr>
        <w:t>Table of Content</w:t>
      </w:r>
      <w:bookmarkStart w:id="0" w:name="_GoBack"/>
      <w:bookmarkEnd w:id="0"/>
      <w:r>
        <w:rPr>
          <w:b/>
          <w:bCs/>
          <w:color w:val="auto"/>
          <w:sz w:val="30"/>
          <w:szCs w:val="30"/>
        </w:rPr>
        <w:t>s</w:t>
      </w:r>
    </w:p>
    <w:p>
      <w:pPr>
        <w:spacing w:after="160"/>
        <w:rPr>
          <w:color w:val="auto"/>
        </w:rPr>
      </w:pPr>
      <w:r>
        <w:rPr>
          <w:color w:val="auto"/>
          <w:sz w:val="24"/>
          <w:szCs w:val="24"/>
        </w:rPr>
        <w:t>I. Introduction</w:t>
      </w:r>
    </w:p>
    <w:p>
      <w:pPr>
        <w:spacing w:after="160"/>
        <w:rPr>
          <w:color w:val="auto"/>
        </w:rPr>
      </w:pPr>
      <w:r>
        <w:rPr>
          <w:color w:val="auto"/>
          <w:sz w:val="24"/>
          <w:szCs w:val="24"/>
        </w:rPr>
        <w:t>II. Problem Description</w:t>
      </w:r>
    </w:p>
    <w:p>
      <w:pPr>
        <w:spacing w:after="160"/>
        <w:rPr>
          <w:color w:val="auto"/>
        </w:rPr>
      </w:pPr>
      <w:r>
        <w:rPr>
          <w:color w:val="auto"/>
          <w:sz w:val="24"/>
          <w:szCs w:val="24"/>
        </w:rPr>
        <w:t>III. Scope of the System</w:t>
      </w:r>
    </w:p>
    <w:p>
      <w:pPr>
        <w:spacing w:after="160"/>
        <w:rPr>
          <w:color w:val="auto"/>
        </w:rPr>
      </w:pPr>
      <w:r>
        <w:rPr>
          <w:color w:val="auto"/>
          <w:sz w:val="24"/>
          <w:szCs w:val="24"/>
        </w:rPr>
        <w:t>IV. Stakeholder and Actor Analysis</w:t>
      </w:r>
    </w:p>
    <w:p>
      <w:pPr>
        <w:spacing w:after="160"/>
        <w:rPr>
          <w:color w:val="auto"/>
        </w:rPr>
      </w:pPr>
      <w:r>
        <w:rPr>
          <w:color w:val="auto"/>
          <w:sz w:val="24"/>
          <w:szCs w:val="24"/>
        </w:rPr>
        <w:t>V. Actors and Use Cases</w:t>
      </w:r>
    </w:p>
    <w:p>
      <w:pPr>
        <w:spacing w:after="160"/>
        <w:rPr>
          <w:color w:val="auto"/>
        </w:rPr>
      </w:pPr>
      <w:r>
        <w:rPr>
          <w:color w:val="auto"/>
          <w:sz w:val="24"/>
          <w:szCs w:val="24"/>
        </w:rPr>
        <w:t>VI. Use Case Diagram</w:t>
      </w:r>
    </w:p>
    <w:p>
      <w:pPr>
        <w:spacing w:after="160"/>
        <w:rPr>
          <w:color w:val="auto"/>
        </w:rPr>
      </w:pPr>
      <w:r>
        <w:rPr>
          <w:color w:val="auto"/>
          <w:sz w:val="24"/>
          <w:szCs w:val="24"/>
        </w:rPr>
        <w:t>VII. Functional Requirements</w:t>
      </w:r>
    </w:p>
    <w:p>
      <w:pPr>
        <w:spacing w:after="160"/>
        <w:rPr>
          <w:color w:val="auto"/>
        </w:rPr>
      </w:pPr>
      <w:r>
        <w:rPr>
          <w:color w:val="auto"/>
          <w:sz w:val="24"/>
          <w:szCs w:val="24"/>
        </w:rPr>
        <w:t>VIII. Non-Functional Requirements</w:t>
      </w:r>
    </w:p>
    <w:p>
      <w:pPr>
        <w:spacing w:after="160"/>
        <w:rPr>
          <w:color w:val="auto"/>
        </w:rPr>
      </w:pPr>
      <w:r>
        <w:rPr>
          <w:color w:val="auto"/>
          <w:sz w:val="24"/>
          <w:szCs w:val="24"/>
        </w:rPr>
        <w:t>IX. Data Requirements</w:t>
      </w:r>
    </w:p>
    <w:p>
      <w:pPr>
        <w:spacing w:after="160"/>
        <w:rPr>
          <w:color w:val="auto"/>
        </w:rPr>
      </w:pPr>
      <w:r>
        <w:rPr>
          <w:color w:val="auto"/>
          <w:sz w:val="24"/>
          <w:szCs w:val="24"/>
        </w:rPr>
        <w:t>X. External Interface Requirements</w:t>
      </w:r>
    </w:p>
    <w:p>
      <w:pPr>
        <w:spacing w:after="160"/>
        <w:rPr>
          <w:color w:val="auto"/>
        </w:rPr>
      </w:pPr>
      <w:r>
        <w:rPr>
          <w:color w:val="auto"/>
          <w:sz w:val="24"/>
          <w:szCs w:val="24"/>
        </w:rPr>
        <w:t>XI. System Features</w:t>
      </w:r>
    </w:p>
    <w:p>
      <w:pPr>
        <w:spacing w:after="160"/>
        <w:rPr>
          <w:color w:val="auto"/>
        </w:rPr>
      </w:pPr>
      <w:r>
        <w:rPr>
          <w:color w:val="auto"/>
          <w:sz w:val="24"/>
          <w:szCs w:val="24"/>
        </w:rPr>
        <w:t>XII. Assumptions</w:t>
      </w:r>
    </w:p>
    <w:p>
      <w:pPr>
        <w:spacing w:after="160"/>
        <w:rPr>
          <w:color w:val="auto"/>
        </w:rPr>
      </w:pPr>
      <w:r>
        <w:rPr>
          <w:color w:val="auto"/>
          <w:sz w:val="24"/>
          <w:szCs w:val="24"/>
        </w:rPr>
        <w:t>XIII. Constraints</w:t>
      </w:r>
    </w:p>
    <w:p>
      <w:pPr>
        <w:spacing w:after="160"/>
        <w:rPr>
          <w:color w:val="auto"/>
        </w:rPr>
      </w:pPr>
      <w:r>
        <w:rPr>
          <w:color w:val="auto"/>
          <w:sz w:val="24"/>
          <w:szCs w:val="24"/>
        </w:rPr>
        <w:t>XIV. Requirement Validation</w:t>
      </w:r>
    </w:p>
    <w:p>
      <w:pPr>
        <w:spacing w:after="160"/>
        <w:rPr>
          <w:color w:val="auto"/>
        </w:rPr>
      </w:pPr>
      <w:r>
        <w:rPr>
          <w:color w:val="auto"/>
          <w:sz w:val="24"/>
          <w:szCs w:val="24"/>
        </w:rPr>
        <w:t>XV. Conclusion</w:t>
      </w:r>
    </w:p>
    <w:p>
      <w:pPr>
        <w:spacing w:after="160"/>
        <w:rPr>
          <w:color w:val="auto"/>
        </w:rPr>
      </w:pPr>
      <w:r>
        <w:rPr>
          <w:color w:val="auto"/>
          <w:sz w:val="24"/>
          <w:szCs w:val="24"/>
        </w:rPr>
        <w:t>XVI. References</w:t>
      </w:r>
    </w:p>
    <w:p>
      <w:pPr>
        <w:rPr>
          <w:color w:val="auto"/>
        </w:rPr>
      </w:pPr>
      <w:r>
        <w:rPr>
          <w:color w:val="auto"/>
        </w:rPr>
        <w:br w:type="page"/>
      </w:r>
    </w:p>
    <w:p>
      <w:pPr>
        <w:rPr>
          <w:color w:val="auto"/>
        </w:rPr>
        <w:sectPr>
          <w:pgSz w:w="11906" w:h="16838"/>
          <w:pgMar w:top="1440" w:right="1440" w:bottom="1440" w:left="1440" w:header="708" w:footer="708" w:gutter="0"/>
          <w:cols w:space="720" w:num="1"/>
          <w:docGrid w:linePitch="360" w:charSpace="0"/>
        </w:sectPr>
      </w:pPr>
    </w:p>
    <w:p>
      <w:pPr>
        <w:pStyle w:val="2"/>
        <w:spacing w:before="320" w:after="160"/>
        <w:rPr>
          <w:color w:val="auto"/>
        </w:rPr>
      </w:pPr>
      <w:r>
        <w:rPr>
          <w:b/>
          <w:bCs/>
          <w:color w:val="auto"/>
          <w:sz w:val="30"/>
          <w:szCs w:val="30"/>
        </w:rPr>
        <w:t>I. Introduction</w:t>
      </w:r>
    </w:p>
    <w:p>
      <w:pPr>
        <w:spacing w:after="140" w:line="300" w:lineRule="auto"/>
        <w:jc w:val="both"/>
        <w:rPr>
          <w:color w:val="auto"/>
        </w:rPr>
      </w:pPr>
      <w:r>
        <w:rPr>
          <w:color w:val="auto"/>
          <w:sz w:val="23"/>
          <w:szCs w:val="23"/>
        </w:rPr>
        <w:t>Cold-chain logistics is one of the most critical components of modern food and pharmaceutical distribution. It ensures that temperature-sensitive products such as vaccines, insulin, biologics, dairy products, seafood, meat, and fresh produce are transported and stored under controlled environmental conditions. Even a small deviation in temperature or humidity can reduce product effectiveness, shorten shelf life, or render a shipment unsafe for use.</w:t>
      </w:r>
    </w:p>
    <w:p>
      <w:pPr>
        <w:spacing w:after="140" w:line="300" w:lineRule="auto"/>
        <w:jc w:val="both"/>
        <w:rPr>
          <w:color w:val="auto"/>
        </w:rPr>
      </w:pPr>
      <w:r>
        <w:rPr>
          <w:color w:val="auto"/>
          <w:sz w:val="23"/>
          <w:szCs w:val="23"/>
        </w:rPr>
        <w:t>Most existing cold-chain monitoring approaches depend on data loggers and manual inspection, where readings are reviewed only after a shipment reaches its destination. This scenario-based requirement analysis studies that business domain and specifies the requirements for a proposed Cold-Chain Logistics Integrity Platform — a cloud-based system that uses IoT sensors, cloud computing, and AI analytics to provide continuous, real-time visibility and predictive alerts across the cold-chain supply network.</w:t>
      </w:r>
    </w:p>
    <w:p>
      <w:pPr>
        <w:spacing w:after="140" w:line="300" w:lineRule="auto"/>
        <w:jc w:val="both"/>
        <w:rPr>
          <w:color w:val="auto"/>
        </w:rPr>
      </w:pPr>
      <w:r>
        <w:rPr>
          <w:color w:val="auto"/>
          <w:sz w:val="23"/>
          <w:szCs w:val="23"/>
        </w:rPr>
        <w:t>This document follows the structure of a Software Requirement Specification (SRS): it analyses the problem and business domain, identifies stakeholders and actors, derives functional and non-functional requirements, models actor-system interactions through use cases, specifies data and interface requirements, and validates the requirement set for completeness and consistency.</w:t>
      </w:r>
    </w:p>
    <w:p>
      <w:pPr>
        <w:pStyle w:val="2"/>
        <w:spacing w:before="320" w:after="160"/>
        <w:rPr>
          <w:color w:val="auto"/>
        </w:rPr>
      </w:pPr>
      <w:r>
        <w:rPr>
          <w:b/>
          <w:bCs/>
          <w:color w:val="auto"/>
          <w:sz w:val="30"/>
          <w:szCs w:val="30"/>
        </w:rPr>
        <w:t>II. Problem Description</w:t>
      </w:r>
    </w:p>
    <w:p>
      <w:pPr>
        <w:spacing w:after="140" w:line="300" w:lineRule="auto"/>
        <w:jc w:val="both"/>
        <w:rPr>
          <w:color w:val="auto"/>
        </w:rPr>
      </w:pPr>
      <w:r>
        <w:rPr>
          <w:color w:val="auto"/>
          <w:sz w:val="23"/>
          <w:szCs w:val="23"/>
        </w:rPr>
        <w:t>The business domain is temperature-controlled logistics for food and pharmaceutical supply chains. Shipments of perishable or temperature-sensitive goods travel through refrigerated trucks, cold-storage warehouses, and shipping containers, where refrigeration failures, door breaches, or route delays can silently push products outside their safe temperature band.</w:t>
      </w:r>
    </w:p>
    <w:p>
      <w:pPr>
        <w:spacing w:after="140" w:line="300" w:lineRule="auto"/>
        <w:jc w:val="both"/>
        <w:rPr>
          <w:color w:val="auto"/>
        </w:rPr>
      </w:pPr>
      <w:r>
        <w:rPr>
          <w:color w:val="auto"/>
          <w:sz w:val="23"/>
          <w:szCs w:val="23"/>
        </w:rPr>
        <w:t>Existing challenges identified in the scenario include:</w:t>
      </w:r>
    </w:p>
    <w:p>
      <w:pPr>
        <w:pStyle w:val="16"/>
        <w:numPr>
          <w:ilvl w:val="0"/>
          <w:numId w:val="1"/>
        </w:numPr>
        <w:spacing w:after="80" w:line="300" w:lineRule="auto"/>
        <w:rPr>
          <w:color w:val="auto"/>
        </w:rPr>
      </w:pPr>
      <w:r>
        <w:rPr>
          <w:color w:val="auto"/>
          <w:sz w:val="23"/>
          <w:szCs w:val="23"/>
        </w:rPr>
        <w:t>No continuous, real-time visibility into shipment temperature, humidity, or location during transit.</w:t>
      </w:r>
    </w:p>
    <w:p>
      <w:pPr>
        <w:pStyle w:val="16"/>
        <w:numPr>
          <w:ilvl w:val="0"/>
          <w:numId w:val="1"/>
        </w:numPr>
        <w:spacing w:after="80" w:line="300" w:lineRule="auto"/>
        <w:rPr>
          <w:color w:val="auto"/>
        </w:rPr>
      </w:pPr>
      <w:r>
        <w:rPr>
          <w:color w:val="auto"/>
          <w:sz w:val="23"/>
          <w:szCs w:val="23"/>
        </w:rPr>
        <w:t>Reactive monitoring — data loggers are reviewed only after delivery, by which time spoilage or non-compliance has already occurred.</w:t>
      </w:r>
    </w:p>
    <w:p>
      <w:pPr>
        <w:pStyle w:val="16"/>
        <w:numPr>
          <w:ilvl w:val="0"/>
          <w:numId w:val="1"/>
        </w:numPr>
        <w:spacing w:after="80" w:line="300" w:lineRule="auto"/>
        <w:rPr>
          <w:color w:val="auto"/>
        </w:rPr>
      </w:pPr>
      <w:r>
        <w:rPr>
          <w:color w:val="auto"/>
          <w:sz w:val="23"/>
          <w:szCs w:val="23"/>
        </w:rPr>
        <w:t>No predictive capability to anticipate refrigeration unit failure before it happens.</w:t>
      </w:r>
    </w:p>
    <w:p>
      <w:pPr>
        <w:pStyle w:val="16"/>
        <w:numPr>
          <w:ilvl w:val="0"/>
          <w:numId w:val="1"/>
        </w:numPr>
        <w:spacing w:after="80" w:line="300" w:lineRule="auto"/>
        <w:rPr>
          <w:color w:val="auto"/>
        </w:rPr>
      </w:pPr>
      <w:r>
        <w:rPr>
          <w:color w:val="auto"/>
          <w:sz w:val="23"/>
          <w:szCs w:val="23"/>
        </w:rPr>
        <w:t>Manual, error-prone compliance reporting for regulators such as the FDA, WHO, and FSSAI.</w:t>
      </w:r>
    </w:p>
    <w:p>
      <w:pPr>
        <w:pStyle w:val="16"/>
        <w:numPr>
          <w:ilvl w:val="0"/>
          <w:numId w:val="1"/>
        </w:numPr>
        <w:spacing w:after="80" w:line="300" w:lineRule="auto"/>
        <w:rPr>
          <w:color w:val="auto"/>
        </w:rPr>
      </w:pPr>
      <w:r>
        <w:rPr>
          <w:color w:val="auto"/>
          <w:sz w:val="23"/>
          <w:szCs w:val="23"/>
        </w:rPr>
        <w:t>Delayed stakeholder notification when abnormal conditions occur, preventing timely corrective action.</w:t>
      </w:r>
    </w:p>
    <w:p>
      <w:pPr>
        <w:pStyle w:val="16"/>
        <w:numPr>
          <w:ilvl w:val="0"/>
          <w:numId w:val="1"/>
        </w:numPr>
        <w:spacing w:after="80" w:line="300" w:lineRule="auto"/>
        <w:rPr>
          <w:color w:val="auto"/>
        </w:rPr>
      </w:pPr>
      <w:r>
        <w:rPr>
          <w:color w:val="auto"/>
          <w:sz w:val="23"/>
          <w:szCs w:val="23"/>
        </w:rPr>
        <w:t>Financial loss, product recalls, and reduced customer trust caused by undetected excursions.</w:t>
      </w:r>
    </w:p>
    <w:p>
      <w:pPr>
        <w:spacing w:after="140" w:line="300" w:lineRule="auto"/>
        <w:jc w:val="both"/>
        <w:rPr>
          <w:color w:val="auto"/>
        </w:rPr>
      </w:pPr>
      <w:r>
        <w:rPr>
          <w:color w:val="auto"/>
          <w:sz w:val="23"/>
          <w:szCs w:val="23"/>
        </w:rPr>
        <w:t>The system objective is to replace this reactive model with a continuously connected platform that senses, analyses, predicts, and reports on cold-chain conditions in real time, enabling proactive intervention before products are compromised.</w:t>
      </w:r>
    </w:p>
    <w:p>
      <w:pPr>
        <w:pStyle w:val="2"/>
        <w:spacing w:before="320" w:after="160"/>
        <w:rPr>
          <w:color w:val="auto"/>
        </w:rPr>
      </w:pPr>
      <w:r>
        <w:rPr>
          <w:b/>
          <w:bCs/>
          <w:color w:val="auto"/>
          <w:sz w:val="30"/>
          <w:szCs w:val="30"/>
        </w:rPr>
        <w:t>III. Scope of the System</w:t>
      </w:r>
    </w:p>
    <w:p>
      <w:pPr>
        <w:spacing w:after="140" w:line="300" w:lineRule="auto"/>
        <w:jc w:val="both"/>
        <w:rPr>
          <w:color w:val="auto"/>
        </w:rPr>
      </w:pPr>
      <w:r>
        <w:rPr>
          <w:color w:val="auto"/>
          <w:sz w:val="23"/>
          <w:szCs w:val="23"/>
        </w:rPr>
        <w:t>The proposed platform covers monitoring, prediction, alerting, and compliance reporting across the following operating environments:</w:t>
      </w:r>
    </w:p>
    <w:p>
      <w:pPr>
        <w:pStyle w:val="16"/>
        <w:numPr>
          <w:ilvl w:val="0"/>
          <w:numId w:val="1"/>
        </w:numPr>
        <w:spacing w:after="80" w:line="300" w:lineRule="auto"/>
        <w:rPr>
          <w:color w:val="auto"/>
        </w:rPr>
      </w:pPr>
      <w:r>
        <w:rPr>
          <w:color w:val="auto"/>
          <w:sz w:val="23"/>
          <w:szCs w:val="23"/>
        </w:rPr>
        <w:t>Refrigerated trucks used for perishable goods transportation.</w:t>
      </w:r>
    </w:p>
    <w:p>
      <w:pPr>
        <w:pStyle w:val="16"/>
        <w:numPr>
          <w:ilvl w:val="0"/>
          <w:numId w:val="1"/>
        </w:numPr>
        <w:spacing w:after="80" w:line="300" w:lineRule="auto"/>
        <w:rPr>
          <w:color w:val="auto"/>
        </w:rPr>
      </w:pPr>
      <w:r>
        <w:rPr>
          <w:color w:val="auto"/>
          <w:sz w:val="23"/>
          <w:szCs w:val="23"/>
        </w:rPr>
        <w:t>Cold-storage warehouses and distribution centres.</w:t>
      </w:r>
    </w:p>
    <w:p>
      <w:pPr>
        <w:pStyle w:val="16"/>
        <w:numPr>
          <w:ilvl w:val="0"/>
          <w:numId w:val="1"/>
        </w:numPr>
        <w:spacing w:after="80" w:line="300" w:lineRule="auto"/>
        <w:rPr>
          <w:color w:val="auto"/>
        </w:rPr>
      </w:pPr>
      <w:r>
        <w:rPr>
          <w:color w:val="auto"/>
          <w:sz w:val="23"/>
          <w:szCs w:val="23"/>
        </w:rPr>
        <w:t>Refrigerated shipping containers for domestic and international logistics.</w:t>
      </w:r>
    </w:p>
    <w:p>
      <w:pPr>
        <w:pStyle w:val="16"/>
        <w:numPr>
          <w:ilvl w:val="0"/>
          <w:numId w:val="1"/>
        </w:numPr>
        <w:spacing w:after="80" w:line="300" w:lineRule="auto"/>
        <w:rPr>
          <w:color w:val="auto"/>
        </w:rPr>
      </w:pPr>
      <w:r>
        <w:rPr>
          <w:color w:val="auto"/>
          <w:sz w:val="23"/>
          <w:szCs w:val="23"/>
        </w:rPr>
        <w:t>Pharmaceutical cold chains for vaccines, insulin, biologics, and other temperature-sensitive medicines.</w:t>
      </w:r>
    </w:p>
    <w:p>
      <w:pPr>
        <w:pStyle w:val="16"/>
        <w:numPr>
          <w:ilvl w:val="0"/>
          <w:numId w:val="1"/>
        </w:numPr>
        <w:spacing w:after="80" w:line="300" w:lineRule="auto"/>
        <w:rPr>
          <w:color w:val="auto"/>
        </w:rPr>
      </w:pPr>
      <w:r>
        <w:rPr>
          <w:color w:val="auto"/>
          <w:sz w:val="23"/>
          <w:szCs w:val="23"/>
        </w:rPr>
        <w:t>Food distribution networks handling fresh produce, dairy, meat, and seafood.</w:t>
      </w:r>
    </w:p>
    <w:p>
      <w:pPr>
        <w:spacing w:after="140" w:line="300" w:lineRule="auto"/>
        <w:jc w:val="both"/>
        <w:rPr>
          <w:color w:val="auto"/>
        </w:rPr>
      </w:pPr>
      <w:r>
        <w:rPr>
          <w:color w:val="auto"/>
          <w:sz w:val="23"/>
          <w:szCs w:val="23"/>
        </w:rPr>
        <w:t>The system is in scope for: IoT-based data collection, real-time analytics and anomaly detection, AI-based failure prediction, multi-channel alerting, a web/mobile monitoring dashboard, and automated compliance report generation. Physical manufacture or repair of refrigeration hardware, route planning/routing optimisation, and warehouse inventory billing are outside the scope of the current release and are listed under Future Enhancements.</w:t>
      </w:r>
    </w:p>
    <w:p>
      <w:pPr>
        <w:pStyle w:val="2"/>
        <w:spacing w:before="320" w:after="160"/>
        <w:rPr>
          <w:color w:val="auto"/>
        </w:rPr>
      </w:pPr>
      <w:r>
        <w:rPr>
          <w:b/>
          <w:bCs/>
          <w:color w:val="auto"/>
          <w:sz w:val="30"/>
          <w:szCs w:val="30"/>
        </w:rPr>
        <w:t>IV. Stakeholder and Actor Analysis</w:t>
      </w:r>
    </w:p>
    <w:p>
      <w:pPr>
        <w:spacing w:after="140" w:line="300" w:lineRule="auto"/>
        <w:jc w:val="both"/>
        <w:rPr>
          <w:color w:val="auto"/>
        </w:rPr>
      </w:pPr>
      <w:r>
        <w:rPr>
          <w:color w:val="auto"/>
          <w:sz w:val="23"/>
          <w:szCs w:val="23"/>
        </w:rPr>
        <w:t>Stakeholders are the individuals and organisations with an interest in the system's success; actors (below, Section V) are the subset of stakeholders and external systems that directly interact with the platform.</w:t>
      </w:r>
    </w:p>
    <w:p>
      <w:pPr>
        <w:pStyle w:val="3"/>
        <w:spacing w:before="220" w:after="120"/>
        <w:rPr>
          <w:color w:val="auto"/>
        </w:rPr>
      </w:pPr>
      <w:r>
        <w:rPr>
          <w:b/>
          <w:bCs/>
          <w:color w:val="auto"/>
          <w:sz w:val="25"/>
          <w:szCs w:val="25"/>
        </w:rPr>
        <w:t>Primary Stakeholders</w:t>
      </w:r>
    </w:p>
    <w:p>
      <w:pPr>
        <w:spacing w:after="140" w:line="300" w:lineRule="auto"/>
        <w:jc w:val="both"/>
        <w:rPr>
          <w:color w:val="auto"/>
        </w:rPr>
      </w:pPr>
      <w:r>
        <w:rPr>
          <w:b/>
          <w:bCs/>
          <w:color w:val="auto"/>
          <w:sz w:val="23"/>
          <w:szCs w:val="23"/>
        </w:rPr>
        <w:t xml:space="preserve">Logistics Companies / Administrator — </w:t>
      </w:r>
      <w:r>
        <w:rPr>
          <w:color w:val="auto"/>
          <w:sz w:val="23"/>
          <w:szCs w:val="23"/>
        </w:rPr>
        <w:t>Own and configure the platform; manage users, devices, and vehicles; responsible for on-time, quality-preserving delivery.</w:t>
      </w:r>
    </w:p>
    <w:p>
      <w:pPr>
        <w:spacing w:after="140" w:line="300" w:lineRule="auto"/>
        <w:jc w:val="both"/>
        <w:rPr>
          <w:color w:val="auto"/>
        </w:rPr>
      </w:pPr>
      <w:r>
        <w:rPr>
          <w:b/>
          <w:bCs/>
          <w:color w:val="auto"/>
          <w:sz w:val="23"/>
          <w:szCs w:val="23"/>
        </w:rPr>
        <w:t xml:space="preserve">Logistics Managers — </w:t>
      </w:r>
      <w:r>
        <w:rPr>
          <w:color w:val="auto"/>
          <w:sz w:val="23"/>
          <w:szCs w:val="23"/>
        </w:rPr>
        <w:t>Operate the platform day-to-day — monitor shipments, respond to alerts, assign drivers, and generate compliance reports.</w:t>
      </w:r>
    </w:p>
    <w:p>
      <w:pPr>
        <w:spacing w:after="140" w:line="300" w:lineRule="auto"/>
        <w:jc w:val="both"/>
        <w:rPr>
          <w:color w:val="auto"/>
        </w:rPr>
      </w:pPr>
      <w:r>
        <w:rPr>
          <w:b/>
          <w:bCs/>
          <w:color w:val="auto"/>
          <w:sz w:val="23"/>
          <w:szCs w:val="23"/>
        </w:rPr>
        <w:t xml:space="preserve">Drivers — </w:t>
      </w:r>
      <w:r>
        <w:rPr>
          <w:color w:val="auto"/>
          <w:sz w:val="23"/>
          <w:szCs w:val="23"/>
        </w:rPr>
        <w:t>Operate refrigerated vehicles; view shipment details, update status, and respond to in-transit alerts.</w:t>
      </w:r>
    </w:p>
    <w:p>
      <w:pPr>
        <w:spacing w:after="140" w:line="300" w:lineRule="auto"/>
        <w:jc w:val="both"/>
        <w:rPr>
          <w:color w:val="auto"/>
        </w:rPr>
      </w:pPr>
      <w:r>
        <w:rPr>
          <w:b/>
          <w:bCs/>
          <w:color w:val="auto"/>
          <w:sz w:val="23"/>
          <w:szCs w:val="23"/>
        </w:rPr>
        <w:t xml:space="preserve">Warehouse Managers — </w:t>
      </w:r>
      <w:r>
        <w:rPr>
          <w:color w:val="auto"/>
          <w:sz w:val="23"/>
          <w:szCs w:val="23"/>
        </w:rPr>
        <w:t>Oversee cold-storage facilities; monitor storage conditions and manage inventory records.</w:t>
      </w:r>
    </w:p>
    <w:p>
      <w:pPr>
        <w:spacing w:after="140" w:line="300" w:lineRule="auto"/>
        <w:jc w:val="both"/>
        <w:rPr>
          <w:color w:val="auto"/>
        </w:rPr>
      </w:pPr>
      <w:r>
        <w:rPr>
          <w:b/>
          <w:bCs/>
          <w:color w:val="auto"/>
          <w:sz w:val="23"/>
          <w:szCs w:val="23"/>
        </w:rPr>
        <w:t xml:space="preserve">Pharmaceutical Companies &amp; Food Suppliers — </w:t>
      </w:r>
      <w:r>
        <w:rPr>
          <w:color w:val="auto"/>
          <w:sz w:val="23"/>
          <w:szCs w:val="23"/>
        </w:rPr>
        <w:t>Depend on an unbroken cold chain for product safety and shelf life; consume compliance and audit data.</w:t>
      </w:r>
    </w:p>
    <w:p>
      <w:pPr>
        <w:spacing w:after="140" w:line="300" w:lineRule="auto"/>
        <w:jc w:val="both"/>
        <w:rPr>
          <w:color w:val="auto"/>
        </w:rPr>
      </w:pPr>
      <w:r>
        <w:rPr>
          <w:b/>
          <w:bCs/>
          <w:color w:val="auto"/>
          <w:sz w:val="23"/>
          <w:szCs w:val="23"/>
        </w:rPr>
        <w:t xml:space="preserve">Regulatory Authorities (FDA, WHO, FSSAI) — </w:t>
      </w:r>
      <w:r>
        <w:rPr>
          <w:color w:val="auto"/>
          <w:sz w:val="23"/>
          <w:szCs w:val="23"/>
        </w:rPr>
        <w:t>Set and audit compliance standards; require accurate, tamper-evident records.</w:t>
      </w:r>
    </w:p>
    <w:p>
      <w:pPr>
        <w:spacing w:after="140" w:line="300" w:lineRule="auto"/>
        <w:jc w:val="both"/>
        <w:rPr>
          <w:color w:val="auto"/>
        </w:rPr>
      </w:pPr>
      <w:r>
        <w:rPr>
          <w:b/>
          <w:bCs/>
          <w:color w:val="auto"/>
          <w:sz w:val="23"/>
          <w:szCs w:val="23"/>
        </w:rPr>
        <w:t xml:space="preserve">Customers — </w:t>
      </w:r>
      <w:r>
        <w:rPr>
          <w:color w:val="auto"/>
          <w:sz w:val="23"/>
          <w:szCs w:val="23"/>
        </w:rPr>
        <w:t>Final recipients of shipments; expect visibility into delivery status and product condition.</w:t>
      </w:r>
    </w:p>
    <w:p>
      <w:pPr>
        <w:pStyle w:val="2"/>
        <w:spacing w:before="320" w:after="160"/>
        <w:rPr>
          <w:color w:val="auto"/>
        </w:rPr>
      </w:pPr>
      <w:r>
        <w:rPr>
          <w:b/>
          <w:bCs/>
          <w:color w:val="auto"/>
          <w:sz w:val="30"/>
          <w:szCs w:val="30"/>
        </w:rPr>
        <w:t>V. Actors and Use Cases</w:t>
      </w:r>
    </w:p>
    <w:p>
      <w:pPr>
        <w:spacing w:after="140" w:line="300" w:lineRule="auto"/>
        <w:jc w:val="both"/>
        <w:rPr>
          <w:color w:val="auto"/>
        </w:rPr>
      </w:pPr>
      <w:r>
        <w:rPr>
          <w:color w:val="auto"/>
          <w:sz w:val="23"/>
          <w:szCs w:val="23"/>
        </w:rPr>
        <w:t>Actors are grouped into primary (human roles that initiate interactions) and secondary/system actors (external systems that the platform depends on or serves).</w:t>
      </w:r>
    </w:p>
    <w:p>
      <w:pPr>
        <w:pStyle w:val="3"/>
        <w:spacing w:before="220" w:after="120"/>
        <w:rPr>
          <w:color w:val="auto"/>
        </w:rPr>
      </w:pPr>
      <w:r>
        <w:rPr>
          <w:b/>
          <w:bCs/>
          <w:color w:val="auto"/>
          <w:sz w:val="25"/>
          <w:szCs w:val="25"/>
        </w:rPr>
        <w:t>Primary Actors</w:t>
      </w:r>
    </w:p>
    <w:p>
      <w:pPr>
        <w:spacing w:after="140" w:line="300" w:lineRule="auto"/>
        <w:jc w:val="both"/>
        <w:rPr>
          <w:color w:val="auto"/>
        </w:rPr>
      </w:pPr>
      <w:r>
        <w:rPr>
          <w:b/>
          <w:bCs/>
          <w:color w:val="auto"/>
          <w:sz w:val="23"/>
          <w:szCs w:val="23"/>
        </w:rPr>
        <w:t xml:space="preserve">Administrator — </w:t>
      </w:r>
      <w:r>
        <w:rPr>
          <w:color w:val="auto"/>
          <w:sz w:val="23"/>
          <w:szCs w:val="23"/>
        </w:rPr>
        <w:t>Manage user accounts &amp; roles; configure IoT devices and gateways; view system-wide audit logs.</w:t>
      </w:r>
    </w:p>
    <w:p>
      <w:pPr>
        <w:spacing w:after="140" w:line="300" w:lineRule="auto"/>
        <w:jc w:val="both"/>
        <w:rPr>
          <w:color w:val="auto"/>
        </w:rPr>
      </w:pPr>
      <w:r>
        <w:rPr>
          <w:b/>
          <w:bCs/>
          <w:color w:val="auto"/>
          <w:sz w:val="23"/>
          <w:szCs w:val="23"/>
        </w:rPr>
        <w:t xml:space="preserve">Logistics Manager — </w:t>
      </w:r>
      <w:r>
        <w:rPr>
          <w:color w:val="auto"/>
          <w:sz w:val="23"/>
          <w:szCs w:val="23"/>
        </w:rPr>
        <w:t>Monitor the live shipment dashboard; view AI risk predictions; manage alerts &amp; notifications; assign drivers to shipments; generate compliance reports.</w:t>
      </w:r>
    </w:p>
    <w:p>
      <w:pPr>
        <w:spacing w:after="140" w:line="300" w:lineRule="auto"/>
        <w:jc w:val="both"/>
        <w:rPr>
          <w:color w:val="auto"/>
        </w:rPr>
      </w:pPr>
      <w:r>
        <w:rPr>
          <w:b/>
          <w:bCs/>
          <w:color w:val="auto"/>
          <w:sz w:val="23"/>
          <w:szCs w:val="23"/>
        </w:rPr>
        <w:t xml:space="preserve">Driver — </w:t>
      </w:r>
      <w:r>
        <w:rPr>
          <w:color w:val="auto"/>
          <w:sz w:val="23"/>
          <w:szCs w:val="23"/>
        </w:rPr>
        <w:t>View assigned shipment details; update shipment/delivery status; report equipment issues; receive in-transit alerts.</w:t>
      </w:r>
    </w:p>
    <w:p>
      <w:pPr>
        <w:spacing w:after="140" w:line="300" w:lineRule="auto"/>
        <w:jc w:val="both"/>
        <w:rPr>
          <w:color w:val="auto"/>
        </w:rPr>
      </w:pPr>
      <w:r>
        <w:rPr>
          <w:b/>
          <w:bCs/>
          <w:color w:val="auto"/>
          <w:sz w:val="23"/>
          <w:szCs w:val="23"/>
        </w:rPr>
        <w:t xml:space="preserve">Warehouse Manager — </w:t>
      </w:r>
      <w:r>
        <w:rPr>
          <w:color w:val="auto"/>
          <w:sz w:val="23"/>
          <w:szCs w:val="23"/>
        </w:rPr>
        <w:t>Monitor cold-storage conditions; manage inventory records; view historical sensor data for a facility.</w:t>
      </w:r>
    </w:p>
    <w:p>
      <w:pPr>
        <w:spacing w:after="140" w:line="300" w:lineRule="auto"/>
        <w:jc w:val="both"/>
        <w:rPr>
          <w:color w:val="auto"/>
        </w:rPr>
      </w:pPr>
      <w:r>
        <w:rPr>
          <w:b/>
          <w:bCs/>
          <w:color w:val="auto"/>
          <w:sz w:val="23"/>
          <w:szCs w:val="23"/>
        </w:rPr>
        <w:t xml:space="preserve">Customer — </w:t>
      </w:r>
      <w:r>
        <w:rPr>
          <w:color w:val="auto"/>
          <w:sz w:val="23"/>
          <w:szCs w:val="23"/>
        </w:rPr>
        <w:t>Track shipment location; receive delivery notifications; view proof of temperature compliance on delivery.</w:t>
      </w:r>
    </w:p>
    <w:p>
      <w:pPr>
        <w:spacing w:after="140" w:line="300" w:lineRule="auto"/>
        <w:jc w:val="both"/>
        <w:rPr>
          <w:color w:val="auto"/>
        </w:rPr>
      </w:pPr>
      <w:r>
        <w:rPr>
          <w:b/>
          <w:bCs/>
          <w:color w:val="auto"/>
          <w:sz w:val="23"/>
          <w:szCs w:val="23"/>
        </w:rPr>
        <w:t xml:space="preserve">Regulatory Authority — </w:t>
      </w:r>
      <w:r>
        <w:rPr>
          <w:color w:val="auto"/>
          <w:sz w:val="23"/>
          <w:szCs w:val="23"/>
        </w:rPr>
        <w:t>Access and download compliance reports and audit logs for inspection.</w:t>
      </w:r>
    </w:p>
    <w:p>
      <w:pPr>
        <w:pStyle w:val="3"/>
        <w:spacing w:before="220" w:after="120"/>
        <w:rPr>
          <w:color w:val="auto"/>
        </w:rPr>
      </w:pPr>
      <w:r>
        <w:rPr>
          <w:b/>
          <w:bCs/>
          <w:color w:val="auto"/>
          <w:sz w:val="25"/>
          <w:szCs w:val="25"/>
        </w:rPr>
        <w:t>Secondary / System Actors</w:t>
      </w:r>
    </w:p>
    <w:p>
      <w:pPr>
        <w:spacing w:after="140" w:line="300" w:lineRule="auto"/>
        <w:jc w:val="both"/>
        <w:rPr>
          <w:color w:val="auto"/>
        </w:rPr>
      </w:pPr>
      <w:r>
        <w:rPr>
          <w:b/>
          <w:bCs/>
          <w:color w:val="auto"/>
          <w:sz w:val="23"/>
          <w:szCs w:val="23"/>
        </w:rPr>
        <w:t xml:space="preserve">IoT Sensor Network — </w:t>
      </w:r>
      <w:r>
        <w:rPr>
          <w:color w:val="auto"/>
          <w:sz w:val="23"/>
          <w:szCs w:val="23"/>
        </w:rPr>
        <w:t>Continuously sends temperature, humidity, GPS, door-status, and refrigeration-health readings into the platform.</w:t>
      </w:r>
    </w:p>
    <w:p>
      <w:pPr>
        <w:spacing w:after="140" w:line="300" w:lineRule="auto"/>
        <w:jc w:val="both"/>
        <w:rPr>
          <w:color w:val="auto"/>
        </w:rPr>
      </w:pPr>
      <w:r>
        <w:rPr>
          <w:b/>
          <w:bCs/>
          <w:color w:val="auto"/>
          <w:sz w:val="23"/>
          <w:szCs w:val="23"/>
        </w:rPr>
        <w:t xml:space="preserve">AI Prediction Engine — </w:t>
      </w:r>
      <w:r>
        <w:rPr>
          <w:color w:val="auto"/>
          <w:sz w:val="23"/>
          <w:szCs w:val="23"/>
        </w:rPr>
        <w:t>Consumes sensor streams to detect anomalies, predict equipment failure, and compute shipment risk scores.</w:t>
      </w:r>
    </w:p>
    <w:p>
      <w:pPr>
        <w:spacing w:after="140" w:line="300" w:lineRule="auto"/>
        <w:jc w:val="both"/>
        <w:rPr>
          <w:color w:val="auto"/>
        </w:rPr>
      </w:pPr>
      <w:r>
        <w:rPr>
          <w:b/>
          <w:bCs/>
          <w:color w:val="auto"/>
          <w:sz w:val="23"/>
          <w:szCs w:val="23"/>
        </w:rPr>
        <w:t xml:space="preserve">SMS / Email Gateway — </w:t>
      </w:r>
      <w:r>
        <w:rPr>
          <w:color w:val="auto"/>
          <w:sz w:val="23"/>
          <w:szCs w:val="23"/>
        </w:rPr>
        <w:t>External service used by the Alert Service to deliver notifications to stakeholders.</w:t>
      </w:r>
    </w:p>
    <w:p>
      <w:pPr>
        <w:pStyle w:val="3"/>
        <w:spacing w:before="220" w:after="120"/>
        <w:rPr>
          <w:color w:val="auto"/>
        </w:rPr>
      </w:pPr>
      <w:r>
        <w:rPr>
          <w:b/>
          <w:bCs/>
          <w:color w:val="auto"/>
          <w:sz w:val="25"/>
          <w:szCs w:val="25"/>
        </w:rPr>
        <w:t>Use Case Descriptions (Representative Set)</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19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A3C5E"/>
            <w:tcMar>
              <w:top w:w="80" w:type="dxa"/>
              <w:left w:w="100" w:type="dxa"/>
              <w:bottom w:w="80" w:type="dxa"/>
              <w:right w:w="100" w:type="dxa"/>
            </w:tcMar>
          </w:tcPr>
          <w:p>
            <w:pPr>
              <w:rPr>
                <w:color w:val="auto"/>
              </w:rPr>
            </w:pPr>
            <w:r>
              <w:rPr>
                <w:b/>
                <w:bCs/>
                <w:color w:val="auto"/>
                <w:sz w:val="21"/>
                <w:szCs w:val="21"/>
              </w:rPr>
              <w:t>ID</w:t>
            </w:r>
          </w:p>
        </w:tc>
        <w:tc>
          <w:tcPr>
            <w:tcW w:w="2200" w:type="dxa"/>
            <w:shd w:val="clear" w:color="auto" w:fill="1A3C5E"/>
            <w:tcMar>
              <w:top w:w="80" w:type="dxa"/>
              <w:left w:w="100" w:type="dxa"/>
              <w:bottom w:w="80" w:type="dxa"/>
              <w:right w:w="100" w:type="dxa"/>
            </w:tcMar>
          </w:tcPr>
          <w:p>
            <w:pPr>
              <w:rPr>
                <w:color w:val="auto"/>
              </w:rPr>
            </w:pPr>
            <w:r>
              <w:rPr>
                <w:b/>
                <w:bCs/>
                <w:color w:val="auto"/>
                <w:sz w:val="21"/>
                <w:szCs w:val="21"/>
              </w:rPr>
              <w:t>Use Case</w:t>
            </w:r>
          </w:p>
        </w:tc>
        <w:tc>
          <w:tcPr>
            <w:tcW w:w="1900" w:type="dxa"/>
            <w:shd w:val="clear" w:color="auto" w:fill="1A3C5E"/>
            <w:tcMar>
              <w:top w:w="80" w:type="dxa"/>
              <w:left w:w="100" w:type="dxa"/>
              <w:bottom w:w="80" w:type="dxa"/>
              <w:right w:w="100" w:type="dxa"/>
            </w:tcMar>
          </w:tcPr>
          <w:p>
            <w:pPr>
              <w:rPr>
                <w:color w:val="auto"/>
              </w:rPr>
            </w:pPr>
            <w:r>
              <w:rPr>
                <w:b/>
                <w:bCs/>
                <w:color w:val="auto"/>
                <w:sz w:val="21"/>
                <w:szCs w:val="21"/>
              </w:rPr>
              <w:t>Primary Actor(s)</w:t>
            </w:r>
          </w:p>
        </w:tc>
        <w:tc>
          <w:tcPr>
            <w:tcW w:w="4600" w:type="dxa"/>
            <w:shd w:val="clear" w:color="auto" w:fill="1A3C5E"/>
            <w:tcMar>
              <w:top w:w="80" w:type="dxa"/>
              <w:left w:w="100" w:type="dxa"/>
              <w:bottom w:w="80" w:type="dxa"/>
              <w:right w:w="100" w:type="dxa"/>
            </w:tcMar>
          </w:tcPr>
          <w:p>
            <w:pPr>
              <w:rPr>
                <w:color w:val="auto"/>
              </w:rPr>
            </w:pPr>
            <w:r>
              <w:rPr>
                <w:b/>
                <w:bCs/>
                <w:color w:val="auto"/>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4F8FB"/>
            <w:tcMar>
              <w:top w:w="80" w:type="dxa"/>
              <w:left w:w="100" w:type="dxa"/>
              <w:bottom w:w="80" w:type="dxa"/>
              <w:right w:w="100" w:type="dxa"/>
            </w:tcMar>
          </w:tcPr>
          <w:p>
            <w:pPr>
              <w:rPr>
                <w:color w:val="auto"/>
              </w:rPr>
            </w:pPr>
            <w:r>
              <w:rPr>
                <w:b w:val="0"/>
                <w:bCs w:val="0"/>
                <w:color w:val="auto"/>
                <w:sz w:val="21"/>
                <w:szCs w:val="21"/>
              </w:rPr>
              <w:t>UC-01</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Monitor Live Shipment Dashboard</w:t>
            </w:r>
          </w:p>
        </w:tc>
        <w:tc>
          <w:tcPr>
            <w:tcW w:w="1900" w:type="dxa"/>
            <w:shd w:val="clear" w:color="auto" w:fill="F4F8FB"/>
            <w:tcMar>
              <w:top w:w="80" w:type="dxa"/>
              <w:left w:w="100" w:type="dxa"/>
              <w:bottom w:w="80" w:type="dxa"/>
              <w:right w:w="100" w:type="dxa"/>
            </w:tcMar>
          </w:tcPr>
          <w:p>
            <w:pPr>
              <w:rPr>
                <w:color w:val="auto"/>
              </w:rPr>
            </w:pPr>
            <w:r>
              <w:rPr>
                <w:b w:val="0"/>
                <w:bCs w:val="0"/>
                <w:color w:val="auto"/>
                <w:sz w:val="21"/>
                <w:szCs w:val="21"/>
              </w:rPr>
              <w:t>Logistics Manager</w:t>
            </w:r>
          </w:p>
        </w:tc>
        <w:tc>
          <w:tcPr>
            <w:tcW w:w="4600" w:type="dxa"/>
            <w:shd w:val="clear" w:color="auto" w:fill="F4F8FB"/>
            <w:tcMar>
              <w:top w:w="80" w:type="dxa"/>
              <w:left w:w="100" w:type="dxa"/>
              <w:bottom w:w="80" w:type="dxa"/>
              <w:right w:w="100" w:type="dxa"/>
            </w:tcMar>
          </w:tcPr>
          <w:p>
            <w:pPr>
              <w:rPr>
                <w:color w:val="auto"/>
              </w:rPr>
            </w:pPr>
            <w:r>
              <w:rPr>
                <w:b w:val="0"/>
                <w:bCs w:val="0"/>
                <w:color w:val="auto"/>
                <w:sz w:val="21"/>
                <w:szCs w:val="21"/>
              </w:rPr>
              <w:t>Actor views real-time temperature, humidity, GPS, and door-status data for all active shipments on a single dashboard.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tcPr>
          <w:p>
            <w:pPr>
              <w:rPr>
                <w:color w:val="auto"/>
              </w:rPr>
            </w:pPr>
            <w:r>
              <w:rPr>
                <w:b w:val="0"/>
                <w:bCs w:val="0"/>
                <w:color w:val="auto"/>
                <w:sz w:val="21"/>
                <w:szCs w:val="21"/>
              </w:rPr>
              <w:t>UC-02</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View AI Risk Prediction &amp; Score</w:t>
            </w:r>
          </w:p>
        </w:tc>
        <w:tc>
          <w:tcPr>
            <w:tcW w:w="1900" w:type="dxa"/>
            <w:shd w:val="clear" w:color="auto" w:fill="FFFFFF"/>
            <w:tcMar>
              <w:top w:w="80" w:type="dxa"/>
              <w:left w:w="100" w:type="dxa"/>
              <w:bottom w:w="80" w:type="dxa"/>
              <w:right w:w="100" w:type="dxa"/>
            </w:tcMar>
          </w:tcPr>
          <w:p>
            <w:pPr>
              <w:rPr>
                <w:color w:val="auto"/>
              </w:rPr>
            </w:pPr>
            <w:r>
              <w:rPr>
                <w:b w:val="0"/>
                <w:bCs w:val="0"/>
                <w:color w:val="auto"/>
                <w:sz w:val="21"/>
                <w:szCs w:val="21"/>
              </w:rPr>
              <w:t>Logistics Manager</w:t>
            </w:r>
          </w:p>
        </w:tc>
        <w:tc>
          <w:tcPr>
            <w:tcW w:w="4600" w:type="dxa"/>
            <w:shd w:val="clear" w:color="auto" w:fill="FFFFFF"/>
            <w:tcMar>
              <w:top w:w="80" w:type="dxa"/>
              <w:left w:w="100" w:type="dxa"/>
              <w:bottom w:w="80" w:type="dxa"/>
              <w:right w:w="100" w:type="dxa"/>
            </w:tcMar>
          </w:tcPr>
          <w:p>
            <w:pPr>
              <w:rPr>
                <w:color w:val="auto"/>
              </w:rPr>
            </w:pPr>
            <w:r>
              <w:rPr>
                <w:b w:val="0"/>
                <w:bCs w:val="0"/>
                <w:color w:val="auto"/>
                <w:sz w:val="21"/>
                <w:szCs w:val="21"/>
              </w:rPr>
              <w:t>System (via AI Prediction Engine) calculates and displays a risk score and estimated safe-transport time remaining for each shipment.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shd w:val="clear" w:color="auto" w:fill="F4F8FB"/>
            <w:tcMar>
              <w:top w:w="80" w:type="dxa"/>
              <w:left w:w="100" w:type="dxa"/>
              <w:bottom w:w="80" w:type="dxa"/>
              <w:right w:w="100" w:type="dxa"/>
            </w:tcMar>
          </w:tcPr>
          <w:p>
            <w:pPr>
              <w:rPr>
                <w:color w:val="auto"/>
              </w:rPr>
            </w:pPr>
            <w:r>
              <w:rPr>
                <w:b w:val="0"/>
                <w:bCs w:val="0"/>
                <w:color w:val="auto"/>
                <w:sz w:val="21"/>
                <w:szCs w:val="21"/>
              </w:rPr>
              <w:t>UC-03</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Manage Alerts &amp; Notifications</w:t>
            </w:r>
          </w:p>
        </w:tc>
        <w:tc>
          <w:tcPr>
            <w:tcW w:w="1900" w:type="dxa"/>
            <w:shd w:val="clear" w:color="auto" w:fill="F4F8FB"/>
            <w:tcMar>
              <w:top w:w="80" w:type="dxa"/>
              <w:left w:w="100" w:type="dxa"/>
              <w:bottom w:w="80" w:type="dxa"/>
              <w:right w:w="100" w:type="dxa"/>
            </w:tcMar>
          </w:tcPr>
          <w:p>
            <w:pPr>
              <w:rPr>
                <w:color w:val="auto"/>
              </w:rPr>
            </w:pPr>
            <w:r>
              <w:rPr>
                <w:b w:val="0"/>
                <w:bCs w:val="0"/>
                <w:color w:val="auto"/>
                <w:sz w:val="21"/>
                <w:szCs w:val="21"/>
              </w:rPr>
              <w:t>Logistics Manager</w:t>
            </w:r>
          </w:p>
        </w:tc>
        <w:tc>
          <w:tcPr>
            <w:tcW w:w="4600" w:type="dxa"/>
            <w:shd w:val="clear" w:color="auto" w:fill="F4F8FB"/>
            <w:tcMar>
              <w:top w:w="80" w:type="dxa"/>
              <w:left w:w="100" w:type="dxa"/>
              <w:bottom w:w="80" w:type="dxa"/>
              <w:right w:w="100" w:type="dxa"/>
            </w:tcMar>
          </w:tcPr>
          <w:p>
            <w:pPr>
              <w:rPr>
                <w:color w:val="auto"/>
              </w:rPr>
            </w:pPr>
            <w:r>
              <w:rPr>
                <w:b w:val="0"/>
                <w:bCs w:val="0"/>
                <w:color w:val="auto"/>
                <w:sz w:val="21"/>
                <w:szCs w:val="21"/>
              </w:rPr>
              <w:t>Actor configures alert thresholds and acknowledges/resolves triggered alerts.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tcPr>
          <w:p>
            <w:pPr>
              <w:rPr>
                <w:color w:val="auto"/>
              </w:rPr>
            </w:pPr>
            <w:r>
              <w:rPr>
                <w:b w:val="0"/>
                <w:bCs w:val="0"/>
                <w:color w:val="auto"/>
                <w:sz w:val="21"/>
                <w:szCs w:val="21"/>
              </w:rPr>
              <w:t>UC-04</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Generate Compliance Report</w:t>
            </w:r>
          </w:p>
        </w:tc>
        <w:tc>
          <w:tcPr>
            <w:tcW w:w="1900" w:type="dxa"/>
            <w:shd w:val="clear" w:color="auto" w:fill="FFFFFF"/>
            <w:tcMar>
              <w:top w:w="80" w:type="dxa"/>
              <w:left w:w="100" w:type="dxa"/>
              <w:bottom w:w="80" w:type="dxa"/>
              <w:right w:w="100" w:type="dxa"/>
            </w:tcMar>
          </w:tcPr>
          <w:p>
            <w:pPr>
              <w:rPr>
                <w:color w:val="auto"/>
              </w:rPr>
            </w:pPr>
            <w:r>
              <w:rPr>
                <w:b w:val="0"/>
                <w:bCs w:val="0"/>
                <w:color w:val="auto"/>
                <w:sz w:val="21"/>
                <w:szCs w:val="21"/>
              </w:rPr>
              <w:t>Logistics Manager, Regulatory Authority</w:t>
            </w:r>
          </w:p>
        </w:tc>
        <w:tc>
          <w:tcPr>
            <w:tcW w:w="4600" w:type="dxa"/>
            <w:shd w:val="clear" w:color="auto" w:fill="FFFFFF"/>
            <w:tcMar>
              <w:top w:w="80" w:type="dxa"/>
              <w:left w:w="100" w:type="dxa"/>
              <w:bottom w:w="80" w:type="dxa"/>
              <w:right w:w="100" w:type="dxa"/>
            </w:tcMar>
          </w:tcPr>
          <w:p>
            <w:pPr>
              <w:rPr>
                <w:color w:val="auto"/>
              </w:rPr>
            </w:pPr>
            <w:r>
              <w:rPr>
                <w:b w:val="0"/>
                <w:bCs w:val="0"/>
                <w:color w:val="auto"/>
                <w:sz w:val="21"/>
                <w:szCs w:val="21"/>
              </w:rPr>
              <w:t>System compiles sensor history and alert logs into a signed PDF report for a given shipment or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4F8FB"/>
            <w:tcMar>
              <w:top w:w="80" w:type="dxa"/>
              <w:left w:w="100" w:type="dxa"/>
              <w:bottom w:w="80" w:type="dxa"/>
              <w:right w:w="100" w:type="dxa"/>
            </w:tcMar>
          </w:tcPr>
          <w:p>
            <w:pPr>
              <w:rPr>
                <w:color w:val="auto"/>
              </w:rPr>
            </w:pPr>
            <w:r>
              <w:rPr>
                <w:b w:val="0"/>
                <w:bCs w:val="0"/>
                <w:color w:val="auto"/>
                <w:sz w:val="21"/>
                <w:szCs w:val="21"/>
              </w:rPr>
              <w:t>UC-05</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Update Shipment / Delivery Status</w:t>
            </w:r>
          </w:p>
        </w:tc>
        <w:tc>
          <w:tcPr>
            <w:tcW w:w="1900" w:type="dxa"/>
            <w:shd w:val="clear" w:color="auto" w:fill="F4F8FB"/>
            <w:tcMar>
              <w:top w:w="80" w:type="dxa"/>
              <w:left w:w="100" w:type="dxa"/>
              <w:bottom w:w="80" w:type="dxa"/>
              <w:right w:w="100" w:type="dxa"/>
            </w:tcMar>
          </w:tcPr>
          <w:p>
            <w:pPr>
              <w:rPr>
                <w:color w:val="auto"/>
              </w:rPr>
            </w:pPr>
            <w:r>
              <w:rPr>
                <w:b w:val="0"/>
                <w:bCs w:val="0"/>
                <w:color w:val="auto"/>
                <w:sz w:val="21"/>
                <w:szCs w:val="21"/>
              </w:rPr>
              <w:t>Driver</w:t>
            </w:r>
          </w:p>
        </w:tc>
        <w:tc>
          <w:tcPr>
            <w:tcW w:w="4600" w:type="dxa"/>
            <w:shd w:val="clear" w:color="auto" w:fill="F4F8FB"/>
            <w:tcMar>
              <w:top w:w="80" w:type="dxa"/>
              <w:left w:w="100" w:type="dxa"/>
              <w:bottom w:w="80" w:type="dxa"/>
              <w:right w:w="100" w:type="dxa"/>
            </w:tcMar>
          </w:tcPr>
          <w:p>
            <w:pPr>
              <w:rPr>
                <w:color w:val="auto"/>
              </w:rPr>
            </w:pPr>
            <w:r>
              <w:rPr>
                <w:b w:val="0"/>
                <w:bCs w:val="0"/>
                <w:color w:val="auto"/>
                <w:sz w:val="21"/>
                <w:szCs w:val="21"/>
              </w:rPr>
              <w:t>Actor marks a shipment as picked up, in-transit, delayed, or delivered.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tcPr>
          <w:p>
            <w:pPr>
              <w:rPr>
                <w:color w:val="auto"/>
              </w:rPr>
            </w:pPr>
            <w:r>
              <w:rPr>
                <w:b w:val="0"/>
                <w:bCs w:val="0"/>
                <w:color w:val="auto"/>
                <w:sz w:val="21"/>
                <w:szCs w:val="21"/>
              </w:rPr>
              <w:t>UC-06</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Report Equipment Issue</w:t>
            </w:r>
          </w:p>
        </w:tc>
        <w:tc>
          <w:tcPr>
            <w:tcW w:w="1900" w:type="dxa"/>
            <w:shd w:val="clear" w:color="auto" w:fill="FFFFFF"/>
            <w:tcMar>
              <w:top w:w="80" w:type="dxa"/>
              <w:left w:w="100" w:type="dxa"/>
              <w:bottom w:w="80" w:type="dxa"/>
              <w:right w:w="100" w:type="dxa"/>
            </w:tcMar>
          </w:tcPr>
          <w:p>
            <w:pPr>
              <w:rPr>
                <w:color w:val="auto"/>
              </w:rPr>
            </w:pPr>
            <w:r>
              <w:rPr>
                <w:b w:val="0"/>
                <w:bCs w:val="0"/>
                <w:color w:val="auto"/>
                <w:sz w:val="21"/>
                <w:szCs w:val="21"/>
              </w:rPr>
              <w:t>Driver</w:t>
            </w:r>
          </w:p>
        </w:tc>
        <w:tc>
          <w:tcPr>
            <w:tcW w:w="4600" w:type="dxa"/>
            <w:shd w:val="clear" w:color="auto" w:fill="FFFFFF"/>
            <w:tcMar>
              <w:top w:w="80" w:type="dxa"/>
              <w:left w:w="100" w:type="dxa"/>
              <w:bottom w:w="80" w:type="dxa"/>
              <w:right w:w="100" w:type="dxa"/>
            </w:tcMar>
          </w:tcPr>
          <w:p>
            <w:pPr>
              <w:rPr>
                <w:color w:val="auto"/>
              </w:rPr>
            </w:pPr>
            <w:r>
              <w:rPr>
                <w:b w:val="0"/>
                <w:bCs w:val="0"/>
                <w:color w:val="auto"/>
                <w:sz w:val="21"/>
                <w:szCs w:val="21"/>
              </w:rPr>
              <w:t>Actor logs a refrigeration or vehicle fault directly from the mobile app, creating a maintenance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shd w:val="clear" w:color="auto" w:fill="F4F8FB"/>
            <w:tcMar>
              <w:top w:w="80" w:type="dxa"/>
              <w:left w:w="100" w:type="dxa"/>
              <w:bottom w:w="80" w:type="dxa"/>
              <w:right w:w="100" w:type="dxa"/>
            </w:tcMar>
          </w:tcPr>
          <w:p>
            <w:pPr>
              <w:rPr>
                <w:color w:val="auto"/>
              </w:rPr>
            </w:pPr>
            <w:r>
              <w:rPr>
                <w:b w:val="0"/>
                <w:bCs w:val="0"/>
                <w:color w:val="auto"/>
                <w:sz w:val="21"/>
                <w:szCs w:val="21"/>
              </w:rPr>
              <w:t>UC-07</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Monitor Cold Storage Conditions</w:t>
            </w:r>
          </w:p>
        </w:tc>
        <w:tc>
          <w:tcPr>
            <w:tcW w:w="1900" w:type="dxa"/>
            <w:shd w:val="clear" w:color="auto" w:fill="F4F8FB"/>
            <w:tcMar>
              <w:top w:w="80" w:type="dxa"/>
              <w:left w:w="100" w:type="dxa"/>
              <w:bottom w:w="80" w:type="dxa"/>
              <w:right w:w="100" w:type="dxa"/>
            </w:tcMar>
          </w:tcPr>
          <w:p>
            <w:pPr>
              <w:rPr>
                <w:color w:val="auto"/>
              </w:rPr>
            </w:pPr>
            <w:r>
              <w:rPr>
                <w:b w:val="0"/>
                <w:bCs w:val="0"/>
                <w:color w:val="auto"/>
                <w:sz w:val="21"/>
                <w:szCs w:val="21"/>
              </w:rPr>
              <w:t>Warehouse Manager</w:t>
            </w:r>
          </w:p>
        </w:tc>
        <w:tc>
          <w:tcPr>
            <w:tcW w:w="4600" w:type="dxa"/>
            <w:shd w:val="clear" w:color="auto" w:fill="F4F8FB"/>
            <w:tcMar>
              <w:top w:w="80" w:type="dxa"/>
              <w:left w:w="100" w:type="dxa"/>
              <w:bottom w:w="80" w:type="dxa"/>
              <w:right w:w="100" w:type="dxa"/>
            </w:tcMar>
          </w:tcPr>
          <w:p>
            <w:pPr>
              <w:rPr>
                <w:color w:val="auto"/>
              </w:rPr>
            </w:pPr>
            <w:r>
              <w:rPr>
                <w:b w:val="0"/>
                <w:bCs w:val="0"/>
                <w:color w:val="auto"/>
                <w:sz w:val="21"/>
                <w:szCs w:val="21"/>
              </w:rPr>
              <w:t>Actor views live and historical temperature/humidity trends for a specific storage facility.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tcPr>
          <w:p>
            <w:pPr>
              <w:rPr>
                <w:color w:val="auto"/>
              </w:rPr>
            </w:pPr>
            <w:r>
              <w:rPr>
                <w:b w:val="0"/>
                <w:bCs w:val="0"/>
                <w:color w:val="auto"/>
                <w:sz w:val="21"/>
                <w:szCs w:val="21"/>
              </w:rPr>
              <w:t>UC-08</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Track Shipment Location (GPS)</w:t>
            </w:r>
          </w:p>
        </w:tc>
        <w:tc>
          <w:tcPr>
            <w:tcW w:w="1900" w:type="dxa"/>
            <w:shd w:val="clear" w:color="auto" w:fill="FFFFFF"/>
            <w:tcMar>
              <w:top w:w="80" w:type="dxa"/>
              <w:left w:w="100" w:type="dxa"/>
              <w:bottom w:w="80" w:type="dxa"/>
              <w:right w:w="100" w:type="dxa"/>
            </w:tcMar>
          </w:tcPr>
          <w:p>
            <w:pPr>
              <w:rPr>
                <w:color w:val="auto"/>
              </w:rPr>
            </w:pPr>
            <w:r>
              <w:rPr>
                <w:b w:val="0"/>
                <w:bCs w:val="0"/>
                <w:color w:val="auto"/>
                <w:sz w:val="21"/>
                <w:szCs w:val="21"/>
              </w:rPr>
              <w:t>Customer</w:t>
            </w:r>
          </w:p>
        </w:tc>
        <w:tc>
          <w:tcPr>
            <w:tcW w:w="4600" w:type="dxa"/>
            <w:shd w:val="clear" w:color="auto" w:fill="FFFFFF"/>
            <w:tcMar>
              <w:top w:w="80" w:type="dxa"/>
              <w:left w:w="100" w:type="dxa"/>
              <w:bottom w:w="80" w:type="dxa"/>
              <w:right w:w="100" w:type="dxa"/>
            </w:tcMar>
          </w:tcPr>
          <w:p>
            <w:pPr>
              <w:rPr>
                <w:color w:val="auto"/>
              </w:rPr>
            </w:pPr>
            <w:r>
              <w:rPr>
                <w:b w:val="0"/>
                <w:bCs w:val="0"/>
                <w:color w:val="auto"/>
                <w:sz w:val="21"/>
                <w:szCs w:val="21"/>
              </w:rPr>
              <w:t>Actor views the live location and ETA of an incoming shipment.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4F8FB"/>
            <w:tcMar>
              <w:top w:w="80" w:type="dxa"/>
              <w:left w:w="100" w:type="dxa"/>
              <w:bottom w:w="80" w:type="dxa"/>
              <w:right w:w="100" w:type="dxa"/>
            </w:tcMar>
          </w:tcPr>
          <w:p>
            <w:pPr>
              <w:rPr>
                <w:color w:val="auto"/>
              </w:rPr>
            </w:pPr>
            <w:r>
              <w:rPr>
                <w:b w:val="0"/>
                <w:bCs w:val="0"/>
                <w:color w:val="auto"/>
                <w:sz w:val="21"/>
                <w:szCs w:val="21"/>
              </w:rPr>
              <w:t>UC-09</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Send Real-Time Sensor Data</w:t>
            </w:r>
          </w:p>
        </w:tc>
        <w:tc>
          <w:tcPr>
            <w:tcW w:w="1900" w:type="dxa"/>
            <w:shd w:val="clear" w:color="auto" w:fill="F4F8FB"/>
            <w:tcMar>
              <w:top w:w="80" w:type="dxa"/>
              <w:left w:w="100" w:type="dxa"/>
              <w:bottom w:w="80" w:type="dxa"/>
              <w:right w:w="100" w:type="dxa"/>
            </w:tcMar>
          </w:tcPr>
          <w:p>
            <w:pPr>
              <w:rPr>
                <w:color w:val="auto"/>
              </w:rPr>
            </w:pPr>
            <w:r>
              <w:rPr>
                <w:b w:val="0"/>
                <w:bCs w:val="0"/>
                <w:color w:val="auto"/>
                <w:sz w:val="21"/>
                <w:szCs w:val="21"/>
              </w:rPr>
              <w:t>IoT Sensor Network</w:t>
            </w:r>
          </w:p>
        </w:tc>
        <w:tc>
          <w:tcPr>
            <w:tcW w:w="4600" w:type="dxa"/>
            <w:shd w:val="clear" w:color="auto" w:fill="F4F8FB"/>
            <w:tcMar>
              <w:top w:w="80" w:type="dxa"/>
              <w:left w:w="100" w:type="dxa"/>
              <w:bottom w:w="80" w:type="dxa"/>
              <w:right w:w="100" w:type="dxa"/>
            </w:tcMar>
          </w:tcPr>
          <w:p>
            <w:pPr>
              <w:rPr>
                <w:color w:val="auto"/>
              </w:rPr>
            </w:pPr>
            <w:r>
              <w:rPr>
                <w:b w:val="0"/>
                <w:bCs w:val="0"/>
                <w:color w:val="auto"/>
                <w:sz w:val="21"/>
                <w:szCs w:val="21"/>
              </w:rPr>
              <w:t>Sensors transmit periodic readings through the gateway to the cloud ingestion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tcPr>
          <w:p>
            <w:pPr>
              <w:rPr>
                <w:color w:val="auto"/>
              </w:rPr>
            </w:pPr>
            <w:r>
              <w:rPr>
                <w:b w:val="0"/>
                <w:bCs w:val="0"/>
                <w:color w:val="auto"/>
                <w:sz w:val="21"/>
                <w:szCs w:val="21"/>
              </w:rPr>
              <w:t>UC-10</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Predict Equipment Failure / Anomaly</w:t>
            </w:r>
          </w:p>
        </w:tc>
        <w:tc>
          <w:tcPr>
            <w:tcW w:w="1900" w:type="dxa"/>
            <w:shd w:val="clear" w:color="auto" w:fill="FFFFFF"/>
            <w:tcMar>
              <w:top w:w="80" w:type="dxa"/>
              <w:left w:w="100" w:type="dxa"/>
              <w:bottom w:w="80" w:type="dxa"/>
              <w:right w:w="100" w:type="dxa"/>
            </w:tcMar>
          </w:tcPr>
          <w:p>
            <w:pPr>
              <w:rPr>
                <w:color w:val="auto"/>
              </w:rPr>
            </w:pPr>
            <w:r>
              <w:rPr>
                <w:b w:val="0"/>
                <w:bCs w:val="0"/>
                <w:color w:val="auto"/>
                <w:sz w:val="21"/>
                <w:szCs w:val="21"/>
              </w:rPr>
              <w:t>AI Prediction Engine</w:t>
            </w:r>
          </w:p>
        </w:tc>
        <w:tc>
          <w:tcPr>
            <w:tcW w:w="4600" w:type="dxa"/>
            <w:shd w:val="clear" w:color="auto" w:fill="FFFFFF"/>
            <w:tcMar>
              <w:top w:w="80" w:type="dxa"/>
              <w:left w:w="100" w:type="dxa"/>
              <w:bottom w:w="80" w:type="dxa"/>
              <w:right w:w="100" w:type="dxa"/>
            </w:tcMar>
          </w:tcPr>
          <w:p>
            <w:pPr>
              <w:rPr>
                <w:color w:val="auto"/>
              </w:rPr>
            </w:pPr>
            <w:r>
              <w:rPr>
                <w:b w:val="0"/>
                <w:bCs w:val="0"/>
                <w:color w:val="auto"/>
                <w:sz w:val="21"/>
                <w:szCs w:val="21"/>
              </w:rPr>
              <w:t>System analyses streamed data to flag anomalies and forecast refrigeration-unit failure before it occurs.</w:t>
            </w:r>
          </w:p>
        </w:tc>
      </w:tr>
    </w:tbl>
    <w:p>
      <w:pPr>
        <w:spacing w:after="160"/>
        <w:rPr>
          <w:color w:val="auto"/>
        </w:rPr>
      </w:pPr>
    </w:p>
    <w:p>
      <w:pPr>
        <w:spacing w:after="140" w:line="300" w:lineRule="auto"/>
        <w:jc w:val="both"/>
        <w:rPr>
          <w:color w:val="auto"/>
        </w:rPr>
      </w:pPr>
      <w:r>
        <w:rPr>
          <w:color w:val="auto"/>
          <w:sz w:val="23"/>
          <w:szCs w:val="23"/>
        </w:rPr>
        <w:t>Extend/include relationships: “Generate Compliance Report” extends “Monitor Live Shipment Dashboard” and is triggered by “Access Compliance Reports for Audit” from the Regulatory Authority. “View AI Risk Prediction” includes the output of “Predict Equipment Failure / Anomaly.” “Monitor Live Shipment Dashboard” includes “Send Real-Time Sensor Data” as its data source.</w:t>
      </w:r>
    </w:p>
    <w:p>
      <w:pPr>
        <w:pStyle w:val="2"/>
        <w:spacing w:before="320" w:after="160"/>
        <w:rPr>
          <w:color w:val="auto"/>
        </w:rPr>
      </w:pPr>
      <w:r>
        <w:rPr>
          <w:b/>
          <w:bCs/>
          <w:color w:val="auto"/>
          <w:sz w:val="30"/>
          <w:szCs w:val="30"/>
        </w:rPr>
        <w:t>VI. Use Case Diagram</w:t>
      </w:r>
    </w:p>
    <w:p>
      <w:pPr>
        <w:spacing w:after="140" w:line="300" w:lineRule="auto"/>
        <w:jc w:val="both"/>
        <w:rPr>
          <w:color w:val="auto"/>
        </w:rPr>
      </w:pPr>
      <w:r>
        <w:rPr>
          <w:color w:val="auto"/>
          <w:sz w:val="23"/>
          <w:szCs w:val="23"/>
        </w:rPr>
        <w:t>The diagram below models the system boundary of the Cold-Chain Logistics Integrity Platform, showing primary actors (left/right) and secondary/system actors (bottom), with association lines to their use cases and dotted lines representing extend/include relationships.</w:t>
      </w:r>
    </w:p>
    <w:p>
      <w:pPr>
        <w:spacing w:before="160" w:after="160"/>
        <w:jc w:val="center"/>
        <w:rPr>
          <w:color w:val="auto"/>
        </w:rPr>
      </w:pPr>
      <w:r>
        <w:rPr>
          <w:color w:val="auto"/>
        </w:rPr>
        <w:drawing>
          <wp:inline distT="0" distB="0" distL="0" distR="0">
            <wp:extent cx="59055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4476750"/>
                    </a:xfrm>
                    <a:prstGeom prst="rect">
                      <a:avLst/>
                    </a:prstGeom>
                  </pic:spPr>
                </pic:pic>
              </a:graphicData>
            </a:graphic>
          </wp:inline>
        </w:drawing>
      </w:r>
    </w:p>
    <w:p>
      <w:pPr>
        <w:pStyle w:val="2"/>
        <w:spacing w:before="320" w:after="160"/>
        <w:rPr>
          <w:color w:val="auto"/>
        </w:rPr>
      </w:pPr>
      <w:r>
        <w:rPr>
          <w:b/>
          <w:bCs/>
          <w:color w:val="auto"/>
          <w:sz w:val="30"/>
          <w:szCs w:val="30"/>
        </w:rPr>
        <w:t>VII. Functional Requirements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6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A3C5E"/>
            <w:tcMar>
              <w:top w:w="80" w:type="dxa"/>
              <w:left w:w="100" w:type="dxa"/>
              <w:bottom w:w="80" w:type="dxa"/>
              <w:right w:w="100" w:type="dxa"/>
            </w:tcMar>
          </w:tcPr>
          <w:p>
            <w:pPr>
              <w:rPr>
                <w:color w:val="auto"/>
              </w:rPr>
            </w:pPr>
            <w:r>
              <w:rPr>
                <w:b/>
                <w:bCs/>
                <w:color w:val="auto"/>
                <w:sz w:val="21"/>
                <w:szCs w:val="21"/>
              </w:rPr>
              <w:t>ID</w:t>
            </w:r>
          </w:p>
        </w:tc>
        <w:tc>
          <w:tcPr>
            <w:tcW w:w="2200" w:type="dxa"/>
            <w:shd w:val="clear" w:color="auto" w:fill="1A3C5E"/>
            <w:tcMar>
              <w:top w:w="80" w:type="dxa"/>
              <w:left w:w="100" w:type="dxa"/>
              <w:bottom w:w="80" w:type="dxa"/>
              <w:right w:w="100" w:type="dxa"/>
            </w:tcMar>
          </w:tcPr>
          <w:p>
            <w:pPr>
              <w:rPr>
                <w:color w:val="auto"/>
              </w:rPr>
            </w:pPr>
            <w:r>
              <w:rPr>
                <w:b/>
                <w:bCs/>
                <w:color w:val="auto"/>
                <w:sz w:val="21"/>
                <w:szCs w:val="21"/>
              </w:rPr>
              <w:t>Requirement</w:t>
            </w:r>
          </w:p>
        </w:tc>
        <w:tc>
          <w:tcPr>
            <w:tcW w:w="6300" w:type="dxa"/>
            <w:shd w:val="clear" w:color="auto" w:fill="1A3C5E"/>
            <w:tcMar>
              <w:top w:w="80" w:type="dxa"/>
              <w:left w:w="100" w:type="dxa"/>
              <w:bottom w:w="80" w:type="dxa"/>
              <w:right w:w="100" w:type="dxa"/>
            </w:tcMar>
          </w:tcPr>
          <w:p>
            <w:pPr>
              <w:rPr>
                <w:color w:val="auto"/>
              </w:rPr>
            </w:pPr>
            <w:r>
              <w:rPr>
                <w:b/>
                <w:bCs/>
                <w:color w:val="auto"/>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FR-01</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User Management</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The system shall allow registration, secure login, and role-based access for Administrator, Logistics Manager, Driver, Warehouse Manager, and Customer roles.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tcPr>
          <w:p>
            <w:pPr>
              <w:rPr>
                <w:color w:val="auto"/>
              </w:rPr>
            </w:pPr>
            <w:r>
              <w:rPr>
                <w:b w:val="0"/>
                <w:bCs w:val="0"/>
                <w:color w:val="auto"/>
                <w:sz w:val="21"/>
                <w:szCs w:val="21"/>
              </w:rPr>
              <w:t>FR-02</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Shipment Monitoring</w:t>
            </w:r>
          </w:p>
        </w:tc>
        <w:tc>
          <w:tcPr>
            <w:tcW w:w="6300" w:type="dxa"/>
            <w:shd w:val="clear" w:color="auto" w:fill="FFFFFF"/>
            <w:tcMar>
              <w:top w:w="80" w:type="dxa"/>
              <w:left w:w="100" w:type="dxa"/>
              <w:bottom w:w="80" w:type="dxa"/>
              <w:right w:w="100" w:type="dxa"/>
            </w:tcMar>
          </w:tcPr>
          <w:p>
            <w:pPr>
              <w:rPr>
                <w:color w:val="auto"/>
              </w:rPr>
            </w:pPr>
            <w:r>
              <w:rPr>
                <w:b w:val="0"/>
                <w:bCs w:val="0"/>
                <w:color w:val="auto"/>
                <w:sz w:val="21"/>
                <w:szCs w:val="21"/>
              </w:rPr>
              <w:t>The system shall continuously ingest temperature, humidity, GPS location, and door-status data from IoT sensors in near real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FR-03</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Alert Management</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The system shall detect threshold breaches and abnormal conditions and dispatch alerts via SMS, email, and mobile push notification.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tcPr>
          <w:p>
            <w:pPr>
              <w:rPr>
                <w:color w:val="auto"/>
              </w:rPr>
            </w:pPr>
            <w:r>
              <w:rPr>
                <w:b w:val="0"/>
                <w:bCs w:val="0"/>
                <w:color w:val="auto"/>
                <w:sz w:val="21"/>
                <w:szCs w:val="21"/>
              </w:rPr>
              <w:t>FR-04</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Dashboard</w:t>
            </w:r>
          </w:p>
        </w:tc>
        <w:tc>
          <w:tcPr>
            <w:tcW w:w="6300" w:type="dxa"/>
            <w:shd w:val="clear" w:color="auto" w:fill="FFFFFF"/>
            <w:tcMar>
              <w:top w:w="80" w:type="dxa"/>
              <w:left w:w="100" w:type="dxa"/>
              <w:bottom w:w="80" w:type="dxa"/>
              <w:right w:w="100" w:type="dxa"/>
            </w:tcMar>
          </w:tcPr>
          <w:p>
            <w:pPr>
              <w:rPr>
                <w:color w:val="auto"/>
              </w:rPr>
            </w:pPr>
            <w:r>
              <w:rPr>
                <w:b w:val="0"/>
                <w:bCs w:val="0"/>
                <w:color w:val="auto"/>
                <w:sz w:val="21"/>
                <w:szCs w:val="21"/>
              </w:rPr>
              <w:t>The system shall present a live dashboard with maps, charts, shipment status, and historical sensor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FR-05</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AI Prediction</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The system shall predict potential refrigeration failures, compute a shipment risk score, and estimate remaining safe-transport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tcPr>
          <w:p>
            <w:pPr>
              <w:rPr>
                <w:color w:val="auto"/>
              </w:rPr>
            </w:pPr>
            <w:r>
              <w:rPr>
                <w:b w:val="0"/>
                <w:bCs w:val="0"/>
                <w:color w:val="auto"/>
                <w:sz w:val="21"/>
                <w:szCs w:val="21"/>
              </w:rPr>
              <w:t>FR-06</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Compliance Reporting</w:t>
            </w:r>
          </w:p>
        </w:tc>
        <w:tc>
          <w:tcPr>
            <w:tcW w:w="6300" w:type="dxa"/>
            <w:shd w:val="clear" w:color="auto" w:fill="FFFFFF"/>
            <w:tcMar>
              <w:top w:w="80" w:type="dxa"/>
              <w:left w:w="100" w:type="dxa"/>
              <w:bottom w:w="80" w:type="dxa"/>
              <w:right w:w="100" w:type="dxa"/>
            </w:tcMar>
          </w:tcPr>
          <w:p>
            <w:pPr>
              <w:rPr>
                <w:color w:val="auto"/>
              </w:rPr>
            </w:pPr>
            <w:r>
              <w:rPr>
                <w:b w:val="0"/>
                <w:bCs w:val="0"/>
                <w:color w:val="auto"/>
                <w:sz w:val="21"/>
                <w:szCs w:val="21"/>
              </w:rPr>
              <w:t>The system shall auto-generate exportable PDF compliance reports and maintain tamper-evident audit logs.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FR-07</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Driver Status Updates</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The system shall allow drivers to update shipment status and log equipment issues from a mobile 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tcPr>
          <w:p>
            <w:pPr>
              <w:rPr>
                <w:color w:val="auto"/>
              </w:rPr>
            </w:pPr>
            <w:r>
              <w:rPr>
                <w:b w:val="0"/>
                <w:bCs w:val="0"/>
                <w:color w:val="auto"/>
                <w:sz w:val="21"/>
                <w:szCs w:val="21"/>
              </w:rPr>
              <w:t>FR-08</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Customer Tracking</w:t>
            </w:r>
          </w:p>
        </w:tc>
        <w:tc>
          <w:tcPr>
            <w:tcW w:w="6300" w:type="dxa"/>
            <w:shd w:val="clear" w:color="auto" w:fill="FFFFFF"/>
            <w:tcMar>
              <w:top w:w="80" w:type="dxa"/>
              <w:left w:w="100" w:type="dxa"/>
              <w:bottom w:w="80" w:type="dxa"/>
              <w:right w:w="100" w:type="dxa"/>
            </w:tcMar>
          </w:tcPr>
          <w:p>
            <w:pPr>
              <w:rPr>
                <w:color w:val="auto"/>
              </w:rPr>
            </w:pPr>
            <w:r>
              <w:rPr>
                <w:b w:val="0"/>
                <w:bCs w:val="0"/>
                <w:color w:val="auto"/>
                <w:sz w:val="21"/>
                <w:szCs w:val="21"/>
              </w:rPr>
              <w:t>The system shall allow customers to view live shipment location and receive delivery notifications.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FR-09</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Warehouse Monitoring</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The system shall allow warehouse managers to monitor storage-unit conditions and manage inventory records.</w:t>
            </w:r>
          </w:p>
        </w:tc>
      </w:tr>
    </w:tbl>
    <w:p>
      <w:pPr>
        <w:pStyle w:val="2"/>
        <w:spacing w:before="320" w:after="160"/>
        <w:rPr>
          <w:color w:val="auto"/>
        </w:rPr>
      </w:pPr>
      <w:r>
        <w:rPr>
          <w:b/>
          <w:bCs/>
          <w:color w:val="auto"/>
          <w:sz w:val="30"/>
          <w:szCs w:val="30"/>
        </w:rPr>
        <w:t>VIII. Non-Functional Requirements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6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A3C5E"/>
            <w:tcMar>
              <w:top w:w="80" w:type="dxa"/>
              <w:left w:w="100" w:type="dxa"/>
              <w:bottom w:w="80" w:type="dxa"/>
              <w:right w:w="100" w:type="dxa"/>
            </w:tcMar>
          </w:tcPr>
          <w:p>
            <w:pPr>
              <w:rPr>
                <w:color w:val="auto"/>
              </w:rPr>
            </w:pPr>
            <w:r>
              <w:rPr>
                <w:b/>
                <w:bCs/>
                <w:color w:val="auto"/>
                <w:sz w:val="21"/>
                <w:szCs w:val="21"/>
              </w:rPr>
              <w:t>ID</w:t>
            </w:r>
          </w:p>
        </w:tc>
        <w:tc>
          <w:tcPr>
            <w:tcW w:w="2200" w:type="dxa"/>
            <w:shd w:val="clear" w:color="auto" w:fill="1A3C5E"/>
            <w:tcMar>
              <w:top w:w="80" w:type="dxa"/>
              <w:left w:w="100" w:type="dxa"/>
              <w:bottom w:w="80" w:type="dxa"/>
              <w:right w:w="100" w:type="dxa"/>
            </w:tcMar>
          </w:tcPr>
          <w:p>
            <w:pPr>
              <w:rPr>
                <w:color w:val="auto"/>
              </w:rPr>
            </w:pPr>
            <w:r>
              <w:rPr>
                <w:b/>
                <w:bCs/>
                <w:color w:val="auto"/>
                <w:sz w:val="21"/>
                <w:szCs w:val="21"/>
              </w:rPr>
              <w:t>Requirement</w:t>
            </w:r>
          </w:p>
        </w:tc>
        <w:tc>
          <w:tcPr>
            <w:tcW w:w="6300" w:type="dxa"/>
            <w:shd w:val="clear" w:color="auto" w:fill="1A3C5E"/>
            <w:tcMar>
              <w:top w:w="80" w:type="dxa"/>
              <w:left w:w="100" w:type="dxa"/>
              <w:bottom w:w="80" w:type="dxa"/>
              <w:right w:w="100" w:type="dxa"/>
            </w:tcMar>
          </w:tcPr>
          <w:p>
            <w:pPr>
              <w:rPr>
                <w:color w:val="auto"/>
              </w:rPr>
            </w:pPr>
            <w:r>
              <w:rPr>
                <w:b/>
                <w:bCs/>
                <w:color w:val="auto"/>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NFR-01</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Performance</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Sensor data shall be processed and reflected on the dashboard within 2 seconds of receipt.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tcPr>
          <w:p>
            <w:pPr>
              <w:rPr>
                <w:color w:val="auto"/>
              </w:rPr>
            </w:pPr>
            <w:r>
              <w:rPr>
                <w:b w:val="0"/>
                <w:bCs w:val="0"/>
                <w:color w:val="auto"/>
                <w:sz w:val="21"/>
                <w:szCs w:val="21"/>
              </w:rPr>
              <w:t>NFR-02</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Scalability</w:t>
            </w:r>
          </w:p>
        </w:tc>
        <w:tc>
          <w:tcPr>
            <w:tcW w:w="6300" w:type="dxa"/>
            <w:shd w:val="clear" w:color="auto" w:fill="FFFFFF"/>
            <w:tcMar>
              <w:top w:w="80" w:type="dxa"/>
              <w:left w:w="100" w:type="dxa"/>
              <w:bottom w:w="80" w:type="dxa"/>
              <w:right w:w="100" w:type="dxa"/>
            </w:tcMar>
          </w:tcPr>
          <w:p>
            <w:pPr>
              <w:rPr>
                <w:color w:val="auto"/>
              </w:rPr>
            </w:pPr>
            <w:r>
              <w:rPr>
                <w:b w:val="0"/>
                <w:bCs w:val="0"/>
                <w:color w:val="auto"/>
                <w:sz w:val="21"/>
                <w:szCs w:val="21"/>
              </w:rPr>
              <w:t>The platform shall support 100,000+ simultaneously connected IoT devices.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NFR-03</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Availability</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The system shall maintain 99.9% uptime for monitoring and alerting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tcPr>
          <w:p>
            <w:pPr>
              <w:rPr>
                <w:color w:val="auto"/>
              </w:rPr>
            </w:pPr>
            <w:r>
              <w:rPr>
                <w:b w:val="0"/>
                <w:bCs w:val="0"/>
                <w:color w:val="auto"/>
                <w:sz w:val="21"/>
                <w:szCs w:val="21"/>
              </w:rPr>
              <w:t>NFR-04</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Reliability</w:t>
            </w:r>
          </w:p>
        </w:tc>
        <w:tc>
          <w:tcPr>
            <w:tcW w:w="6300" w:type="dxa"/>
            <w:shd w:val="clear" w:color="auto" w:fill="FFFFFF"/>
            <w:tcMar>
              <w:top w:w="80" w:type="dxa"/>
              <w:left w:w="100" w:type="dxa"/>
              <w:bottom w:w="80" w:type="dxa"/>
              <w:right w:w="100" w:type="dxa"/>
            </w:tcMar>
          </w:tcPr>
          <w:p>
            <w:pPr>
              <w:rPr>
                <w:color w:val="auto"/>
              </w:rPr>
            </w:pPr>
            <w:r>
              <w:rPr>
                <w:b w:val="0"/>
                <w:bCs w:val="0"/>
                <w:color w:val="auto"/>
                <w:sz w:val="21"/>
                <w:szCs w:val="21"/>
              </w:rPr>
              <w:t>A fault-tolerant, redundant architecture shall ensure continuous operation during partial failures.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NFR-05</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Security</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Data shall be protected with AES encryption at rest, TLS in transit, and Multi-Factor Authentication for user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tcPr>
          <w:p>
            <w:pPr>
              <w:rPr>
                <w:color w:val="auto"/>
              </w:rPr>
            </w:pPr>
            <w:r>
              <w:rPr>
                <w:b w:val="0"/>
                <w:bCs w:val="0"/>
                <w:color w:val="auto"/>
                <w:sz w:val="21"/>
                <w:szCs w:val="21"/>
              </w:rPr>
              <w:t>NFR-06</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Maintainability</w:t>
            </w:r>
          </w:p>
        </w:tc>
        <w:tc>
          <w:tcPr>
            <w:tcW w:w="6300" w:type="dxa"/>
            <w:shd w:val="clear" w:color="auto" w:fill="FFFFFF"/>
            <w:tcMar>
              <w:top w:w="80" w:type="dxa"/>
              <w:left w:w="100" w:type="dxa"/>
              <w:bottom w:w="80" w:type="dxa"/>
              <w:right w:w="100" w:type="dxa"/>
            </w:tcMar>
          </w:tcPr>
          <w:p>
            <w:pPr>
              <w:rPr>
                <w:color w:val="auto"/>
              </w:rPr>
            </w:pPr>
            <w:r>
              <w:rPr>
                <w:b w:val="0"/>
                <w:bCs w:val="0"/>
                <w:color w:val="auto"/>
                <w:sz w:val="21"/>
                <w:szCs w:val="21"/>
              </w:rPr>
              <w:t>A modular microservices architecture shall allow independent updates to individual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4F8FB"/>
            <w:tcMar>
              <w:top w:w="80" w:type="dxa"/>
              <w:left w:w="100" w:type="dxa"/>
              <w:bottom w:w="80" w:type="dxa"/>
              <w:right w:w="100" w:type="dxa"/>
            </w:tcMar>
          </w:tcPr>
          <w:p>
            <w:pPr>
              <w:rPr>
                <w:color w:val="auto"/>
              </w:rPr>
            </w:pPr>
            <w:r>
              <w:rPr>
                <w:b w:val="0"/>
                <w:bCs w:val="0"/>
                <w:color w:val="auto"/>
                <w:sz w:val="21"/>
                <w:szCs w:val="21"/>
              </w:rPr>
              <w:t>NFR-07</w:t>
            </w:r>
          </w:p>
        </w:tc>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Usability</w:t>
            </w:r>
          </w:p>
        </w:tc>
        <w:tc>
          <w:tcPr>
            <w:tcW w:w="6300" w:type="dxa"/>
            <w:shd w:val="clear" w:color="auto" w:fill="F4F8FB"/>
            <w:tcMar>
              <w:top w:w="80" w:type="dxa"/>
              <w:left w:w="100" w:type="dxa"/>
              <w:bottom w:w="80" w:type="dxa"/>
              <w:right w:w="100" w:type="dxa"/>
            </w:tcMar>
          </w:tcPr>
          <w:p>
            <w:pPr>
              <w:rPr>
                <w:color w:val="auto"/>
              </w:rPr>
            </w:pPr>
            <w:r>
              <w:rPr>
                <w:b w:val="0"/>
                <w:bCs w:val="0"/>
                <w:color w:val="auto"/>
                <w:sz w:val="21"/>
                <w:szCs w:val="21"/>
              </w:rPr>
              <w:t>The dashboard and mobile app shall provide intuitive navigation requiring minimal training for logistics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tcPr>
          <w:p>
            <w:pPr>
              <w:rPr>
                <w:color w:val="auto"/>
              </w:rPr>
            </w:pPr>
            <w:r>
              <w:rPr>
                <w:b w:val="0"/>
                <w:bCs w:val="0"/>
                <w:color w:val="auto"/>
                <w:sz w:val="21"/>
                <w:szCs w:val="21"/>
              </w:rPr>
              <w:t>NFR-08</w:t>
            </w:r>
          </w:p>
        </w:tc>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Interoperability</w:t>
            </w:r>
          </w:p>
        </w:tc>
        <w:tc>
          <w:tcPr>
            <w:tcW w:w="6300" w:type="dxa"/>
            <w:shd w:val="clear" w:color="auto" w:fill="FFFFFF"/>
            <w:tcMar>
              <w:top w:w="80" w:type="dxa"/>
              <w:left w:w="100" w:type="dxa"/>
              <w:bottom w:w="80" w:type="dxa"/>
              <w:right w:w="100" w:type="dxa"/>
            </w:tcMar>
          </w:tcPr>
          <w:p>
            <w:pPr>
              <w:rPr>
                <w:color w:val="auto"/>
              </w:rPr>
            </w:pPr>
            <w:r>
              <w:rPr>
                <w:b w:val="0"/>
                <w:bCs w:val="0"/>
                <w:color w:val="auto"/>
                <w:sz w:val="21"/>
                <w:szCs w:val="21"/>
              </w:rPr>
              <w:t>The platform shall expose REST/MQTT interfaces so third-party logistics and ERP/WMS systems can integrate.</w:t>
            </w:r>
          </w:p>
        </w:tc>
      </w:tr>
    </w:tbl>
    <w:p>
      <w:pPr>
        <w:pStyle w:val="2"/>
        <w:spacing w:before="320" w:after="160"/>
        <w:rPr>
          <w:color w:val="auto"/>
        </w:rPr>
      </w:pPr>
      <w:r>
        <w:rPr>
          <w:b/>
          <w:bCs/>
          <w:color w:val="auto"/>
          <w:sz w:val="30"/>
          <w:szCs w:val="30"/>
        </w:rPr>
        <w:t>IX. Data Requirements</w:t>
      </w:r>
    </w:p>
    <w:p>
      <w:pPr>
        <w:spacing w:after="140" w:line="300" w:lineRule="auto"/>
        <w:jc w:val="both"/>
        <w:rPr>
          <w:color w:val="auto"/>
        </w:rPr>
      </w:pPr>
      <w:r>
        <w:rPr>
          <w:color w:val="auto"/>
          <w:sz w:val="23"/>
          <w:szCs w:val="23"/>
        </w:rPr>
        <w:t>The platform must persist and manage the following core data entities: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A3C5E"/>
            <w:tcMar>
              <w:top w:w="80" w:type="dxa"/>
              <w:left w:w="100" w:type="dxa"/>
              <w:bottom w:w="80" w:type="dxa"/>
              <w:right w:w="100" w:type="dxa"/>
            </w:tcMar>
          </w:tcPr>
          <w:p>
            <w:pPr>
              <w:rPr>
                <w:color w:val="auto"/>
              </w:rPr>
            </w:pPr>
            <w:r>
              <w:rPr>
                <w:b/>
                <w:bCs/>
                <w:color w:val="auto"/>
                <w:sz w:val="21"/>
                <w:szCs w:val="21"/>
              </w:rPr>
              <w:t>Entity</w:t>
            </w:r>
          </w:p>
        </w:tc>
        <w:tc>
          <w:tcPr>
            <w:tcW w:w="7100" w:type="dxa"/>
            <w:shd w:val="clear" w:color="auto" w:fill="1A3C5E"/>
            <w:tcMar>
              <w:top w:w="80" w:type="dxa"/>
              <w:left w:w="100" w:type="dxa"/>
              <w:bottom w:w="80" w:type="dxa"/>
              <w:right w:w="100" w:type="dxa"/>
            </w:tcMar>
          </w:tcPr>
          <w:p>
            <w:pPr>
              <w:rPr>
                <w:color w:val="auto"/>
              </w:rPr>
            </w:pPr>
            <w:r>
              <w:rPr>
                <w:b/>
                <w:bCs/>
                <w:color w:val="auto"/>
                <w:sz w:val="21"/>
                <w:szCs w:val="21"/>
              </w:rPr>
              <w:t>Key Attributes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4F8FB"/>
            <w:tcMar>
              <w:top w:w="80" w:type="dxa"/>
              <w:left w:w="100" w:type="dxa"/>
              <w:bottom w:w="80" w:type="dxa"/>
              <w:right w:w="100" w:type="dxa"/>
            </w:tcMar>
          </w:tcPr>
          <w:p>
            <w:pPr>
              <w:rPr>
                <w:color w:val="auto"/>
              </w:rPr>
            </w:pPr>
            <w:r>
              <w:rPr>
                <w:b w:val="0"/>
                <w:bCs w:val="0"/>
                <w:color w:val="auto"/>
                <w:sz w:val="21"/>
                <w:szCs w:val="21"/>
              </w:rPr>
              <w:t>User</w:t>
            </w:r>
          </w:p>
        </w:tc>
        <w:tc>
          <w:tcPr>
            <w:tcW w:w="7100" w:type="dxa"/>
            <w:shd w:val="clear" w:color="auto" w:fill="F4F8FB"/>
            <w:tcMar>
              <w:top w:w="80" w:type="dxa"/>
              <w:left w:w="100" w:type="dxa"/>
              <w:bottom w:w="80" w:type="dxa"/>
              <w:right w:w="100" w:type="dxa"/>
            </w:tcMar>
          </w:tcPr>
          <w:p>
            <w:pPr>
              <w:rPr>
                <w:color w:val="auto"/>
              </w:rPr>
            </w:pPr>
            <w:r>
              <w:rPr>
                <w:b w:val="0"/>
                <w:bCs w:val="0"/>
                <w:color w:val="auto"/>
                <w:sz w:val="21"/>
                <w:szCs w:val="21"/>
              </w:rPr>
              <w:t>user_id, name, role, email, phone, password_hash,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FFFFF"/>
            <w:tcMar>
              <w:top w:w="80" w:type="dxa"/>
              <w:left w:w="100" w:type="dxa"/>
              <w:bottom w:w="80" w:type="dxa"/>
              <w:right w:w="100" w:type="dxa"/>
            </w:tcMar>
          </w:tcPr>
          <w:p>
            <w:pPr>
              <w:rPr>
                <w:color w:val="auto"/>
              </w:rPr>
            </w:pPr>
            <w:r>
              <w:rPr>
                <w:b w:val="0"/>
                <w:bCs w:val="0"/>
                <w:color w:val="auto"/>
                <w:sz w:val="21"/>
                <w:szCs w:val="21"/>
              </w:rPr>
              <w:t>Shipment</w:t>
            </w:r>
          </w:p>
        </w:tc>
        <w:tc>
          <w:tcPr>
            <w:tcW w:w="7100" w:type="dxa"/>
            <w:shd w:val="clear" w:color="auto" w:fill="FFFFFF"/>
            <w:tcMar>
              <w:top w:w="80" w:type="dxa"/>
              <w:left w:w="100" w:type="dxa"/>
              <w:bottom w:w="80" w:type="dxa"/>
              <w:right w:w="100" w:type="dxa"/>
            </w:tcMar>
          </w:tcPr>
          <w:p>
            <w:pPr>
              <w:rPr>
                <w:color w:val="auto"/>
              </w:rPr>
            </w:pPr>
            <w:r>
              <w:rPr>
                <w:b w:val="0"/>
                <w:bCs w:val="0"/>
                <w:color w:val="auto"/>
                <w:sz w:val="21"/>
                <w:szCs w:val="21"/>
              </w:rPr>
              <w:t>shipment_id, origin, destination, product_type, assigned_driver, status, start_time, end_time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4F8FB"/>
            <w:tcMar>
              <w:top w:w="80" w:type="dxa"/>
              <w:left w:w="100" w:type="dxa"/>
              <w:bottom w:w="80" w:type="dxa"/>
              <w:right w:w="100" w:type="dxa"/>
            </w:tcMar>
          </w:tcPr>
          <w:p>
            <w:pPr>
              <w:rPr>
                <w:color w:val="auto"/>
              </w:rPr>
            </w:pPr>
            <w:r>
              <w:rPr>
                <w:b w:val="0"/>
                <w:bCs w:val="0"/>
                <w:color w:val="auto"/>
                <w:sz w:val="21"/>
                <w:szCs w:val="21"/>
              </w:rPr>
              <w:t>Device</w:t>
            </w:r>
          </w:p>
        </w:tc>
        <w:tc>
          <w:tcPr>
            <w:tcW w:w="7100" w:type="dxa"/>
            <w:shd w:val="clear" w:color="auto" w:fill="F4F8FB"/>
            <w:tcMar>
              <w:top w:w="80" w:type="dxa"/>
              <w:left w:w="100" w:type="dxa"/>
              <w:bottom w:w="80" w:type="dxa"/>
              <w:right w:w="100" w:type="dxa"/>
            </w:tcMar>
          </w:tcPr>
          <w:p>
            <w:pPr>
              <w:rPr>
                <w:color w:val="auto"/>
              </w:rPr>
            </w:pPr>
            <w:r>
              <w:rPr>
                <w:b w:val="0"/>
                <w:bCs w:val="0"/>
                <w:color w:val="auto"/>
                <w:sz w:val="21"/>
                <w:szCs w:val="21"/>
              </w:rPr>
              <w:t>device_id, type (temp/humidity/GPS/door), vehicle_id/warehouse_id, install_date, health_status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FFFFF"/>
            <w:tcMar>
              <w:top w:w="80" w:type="dxa"/>
              <w:left w:w="100" w:type="dxa"/>
              <w:bottom w:w="80" w:type="dxa"/>
              <w:right w:w="100" w:type="dxa"/>
            </w:tcMar>
          </w:tcPr>
          <w:p>
            <w:pPr>
              <w:rPr>
                <w:color w:val="auto"/>
              </w:rPr>
            </w:pPr>
            <w:r>
              <w:rPr>
                <w:b w:val="0"/>
                <w:bCs w:val="0"/>
                <w:color w:val="auto"/>
                <w:sz w:val="21"/>
                <w:szCs w:val="21"/>
              </w:rPr>
              <w:t>Sensor Reading</w:t>
            </w:r>
          </w:p>
        </w:tc>
        <w:tc>
          <w:tcPr>
            <w:tcW w:w="7100" w:type="dxa"/>
            <w:shd w:val="clear" w:color="auto" w:fill="FFFFFF"/>
            <w:tcMar>
              <w:top w:w="80" w:type="dxa"/>
              <w:left w:w="100" w:type="dxa"/>
              <w:bottom w:w="80" w:type="dxa"/>
              <w:right w:w="100" w:type="dxa"/>
            </w:tcMar>
          </w:tcPr>
          <w:p>
            <w:pPr>
              <w:rPr>
                <w:color w:val="auto"/>
              </w:rPr>
            </w:pPr>
            <w:r>
              <w:rPr>
                <w:b w:val="0"/>
                <w:bCs w:val="0"/>
                <w:color w:val="auto"/>
                <w:sz w:val="21"/>
                <w:szCs w:val="21"/>
              </w:rPr>
              <w:t>reading_id, device_id, timestamp, temperature, humidity, gps_lat, gps_long, door_state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4F8FB"/>
            <w:tcMar>
              <w:top w:w="80" w:type="dxa"/>
              <w:left w:w="100" w:type="dxa"/>
              <w:bottom w:w="80" w:type="dxa"/>
              <w:right w:w="100" w:type="dxa"/>
            </w:tcMar>
          </w:tcPr>
          <w:p>
            <w:pPr>
              <w:rPr>
                <w:color w:val="auto"/>
              </w:rPr>
            </w:pPr>
            <w:r>
              <w:rPr>
                <w:b w:val="0"/>
                <w:bCs w:val="0"/>
                <w:color w:val="auto"/>
                <w:sz w:val="21"/>
                <w:szCs w:val="21"/>
              </w:rPr>
              <w:t>Alert</w:t>
            </w:r>
          </w:p>
        </w:tc>
        <w:tc>
          <w:tcPr>
            <w:tcW w:w="7100" w:type="dxa"/>
            <w:shd w:val="clear" w:color="auto" w:fill="F4F8FB"/>
            <w:tcMar>
              <w:top w:w="80" w:type="dxa"/>
              <w:left w:w="100" w:type="dxa"/>
              <w:bottom w:w="80" w:type="dxa"/>
              <w:right w:w="100" w:type="dxa"/>
            </w:tcMar>
          </w:tcPr>
          <w:p>
            <w:pPr>
              <w:rPr>
                <w:color w:val="auto"/>
              </w:rPr>
            </w:pPr>
            <w:r>
              <w:rPr>
                <w:b w:val="0"/>
                <w:bCs w:val="0"/>
                <w:color w:val="auto"/>
                <w:sz w:val="21"/>
                <w:szCs w:val="21"/>
              </w:rPr>
              <w:t>alert_id, shipment_id, trigger_condition, severity, timestamp, acknowledged_by, resolution_status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FFFFF"/>
            <w:tcMar>
              <w:top w:w="80" w:type="dxa"/>
              <w:left w:w="100" w:type="dxa"/>
              <w:bottom w:w="80" w:type="dxa"/>
              <w:right w:w="100" w:type="dxa"/>
            </w:tcMar>
          </w:tcPr>
          <w:p>
            <w:pPr>
              <w:rPr>
                <w:color w:val="auto"/>
              </w:rPr>
            </w:pPr>
            <w:r>
              <w:rPr>
                <w:b w:val="0"/>
                <w:bCs w:val="0"/>
                <w:color w:val="auto"/>
                <w:sz w:val="21"/>
                <w:szCs w:val="21"/>
              </w:rPr>
              <w:t>Compliance Report</w:t>
            </w:r>
          </w:p>
        </w:tc>
        <w:tc>
          <w:tcPr>
            <w:tcW w:w="7100" w:type="dxa"/>
            <w:shd w:val="clear" w:color="auto" w:fill="FFFFFF"/>
            <w:tcMar>
              <w:top w:w="80" w:type="dxa"/>
              <w:left w:w="100" w:type="dxa"/>
              <w:bottom w:w="80" w:type="dxa"/>
              <w:right w:w="100" w:type="dxa"/>
            </w:tcMar>
          </w:tcPr>
          <w:p>
            <w:pPr>
              <w:rPr>
                <w:color w:val="auto"/>
              </w:rPr>
            </w:pPr>
            <w:r>
              <w:rPr>
                <w:b w:val="0"/>
                <w:bCs w:val="0"/>
                <w:color w:val="auto"/>
                <w:sz w:val="21"/>
                <w:szCs w:val="21"/>
              </w:rPr>
              <w:t>report_id, shipment_id, generated_date, report_file, regulatory_standard, audit_status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4F8FB"/>
            <w:tcMar>
              <w:top w:w="80" w:type="dxa"/>
              <w:left w:w="100" w:type="dxa"/>
              <w:bottom w:w="80" w:type="dxa"/>
              <w:right w:w="100" w:type="dxa"/>
            </w:tcMar>
          </w:tcPr>
          <w:p>
            <w:pPr>
              <w:rPr>
                <w:color w:val="auto"/>
              </w:rPr>
            </w:pPr>
            <w:r>
              <w:rPr>
                <w:b w:val="0"/>
                <w:bCs w:val="0"/>
                <w:color w:val="auto"/>
                <w:sz w:val="21"/>
                <w:szCs w:val="21"/>
              </w:rPr>
              <w:t>Risk Prediction</w:t>
            </w:r>
          </w:p>
        </w:tc>
        <w:tc>
          <w:tcPr>
            <w:tcW w:w="7100" w:type="dxa"/>
            <w:shd w:val="clear" w:color="auto" w:fill="F4F8FB"/>
            <w:tcMar>
              <w:top w:w="80" w:type="dxa"/>
              <w:left w:w="100" w:type="dxa"/>
              <w:bottom w:w="80" w:type="dxa"/>
              <w:right w:w="100" w:type="dxa"/>
            </w:tcMar>
          </w:tcPr>
          <w:p>
            <w:pPr>
              <w:rPr>
                <w:color w:val="auto"/>
              </w:rPr>
            </w:pPr>
            <w:r>
              <w:rPr>
                <w:b w:val="0"/>
                <w:bCs w:val="0"/>
                <w:color w:val="auto"/>
                <w:sz w:val="21"/>
                <w:szCs w:val="21"/>
              </w:rPr>
              <w:t>prediction_id, shipment_id, risk_score, predicted_failure_time, generated_at</w:t>
            </w:r>
          </w:p>
        </w:tc>
      </w:tr>
    </w:tbl>
    <w:p>
      <w:pPr>
        <w:spacing w:after="120"/>
        <w:rPr>
          <w:color w:val="auto"/>
        </w:rPr>
      </w:pPr>
    </w:p>
    <w:p>
      <w:pPr>
        <w:spacing w:after="140" w:line="300" w:lineRule="auto"/>
        <w:jc w:val="both"/>
        <w:rPr>
          <w:color w:val="auto"/>
        </w:rPr>
      </w:pPr>
      <w:r>
        <w:rPr>
          <w:color w:val="auto"/>
          <w:sz w:val="23"/>
          <w:szCs w:val="23"/>
        </w:rPr>
        <w:t>Sensor readings and alert/audit records must be retained for a minimum regulatory period (e.g. 3 years for pharmaceutical shipments) and stored in a manner that prevents retroactive modification, to satisfy FDA/FSSAI/WHO audit requirements.</w:t>
      </w:r>
    </w:p>
    <w:p>
      <w:pPr>
        <w:pStyle w:val="2"/>
        <w:spacing w:before="320" w:after="160"/>
        <w:rPr>
          <w:color w:val="auto"/>
        </w:rPr>
      </w:pPr>
      <w:r>
        <w:rPr>
          <w:b/>
          <w:bCs/>
          <w:color w:val="auto"/>
          <w:sz w:val="30"/>
          <w:szCs w:val="30"/>
        </w:rPr>
        <w:t>X. External Interface Requirements</w:t>
      </w:r>
    </w:p>
    <w:p>
      <w:pPr>
        <w:pStyle w:val="3"/>
        <w:spacing w:before="220" w:after="120"/>
        <w:rPr>
          <w:color w:val="auto"/>
        </w:rPr>
      </w:pPr>
      <w:r>
        <w:rPr>
          <w:b/>
          <w:bCs/>
          <w:color w:val="auto"/>
          <w:sz w:val="25"/>
          <w:szCs w:val="25"/>
        </w:rPr>
        <w:t>User Interfaces</w:t>
      </w:r>
    </w:p>
    <w:p>
      <w:pPr>
        <w:pStyle w:val="16"/>
        <w:numPr>
          <w:ilvl w:val="0"/>
          <w:numId w:val="1"/>
        </w:numPr>
        <w:spacing w:after="80" w:line="300" w:lineRule="auto"/>
        <w:rPr>
          <w:color w:val="auto"/>
        </w:rPr>
      </w:pPr>
      <w:r>
        <w:rPr>
          <w:color w:val="auto"/>
          <w:sz w:val="23"/>
          <w:szCs w:val="23"/>
        </w:rPr>
        <w:t>Web dashboard for Administrators and Logistics Managers (shipment map, charts, alert console, report export).</w:t>
      </w:r>
    </w:p>
    <w:p>
      <w:pPr>
        <w:pStyle w:val="16"/>
        <w:numPr>
          <w:ilvl w:val="0"/>
          <w:numId w:val="1"/>
        </w:numPr>
        <w:spacing w:after="80" w:line="300" w:lineRule="auto"/>
        <w:rPr>
          <w:color w:val="auto"/>
        </w:rPr>
      </w:pPr>
      <w:r>
        <w:rPr>
          <w:color w:val="auto"/>
          <w:sz w:val="23"/>
          <w:szCs w:val="23"/>
        </w:rPr>
        <w:t>Mobile app (Android/iOS) for Drivers (status updates, alerts) and Customers (tracking, notifications).</w:t>
      </w:r>
    </w:p>
    <w:p>
      <w:pPr>
        <w:pStyle w:val="3"/>
        <w:spacing w:before="220" w:after="120"/>
        <w:rPr>
          <w:color w:val="auto"/>
        </w:rPr>
      </w:pPr>
      <w:r>
        <w:rPr>
          <w:b/>
          <w:bCs/>
          <w:color w:val="auto"/>
          <w:sz w:val="25"/>
          <w:szCs w:val="25"/>
        </w:rPr>
        <w:t>Hardware Interfaces</w:t>
      </w:r>
    </w:p>
    <w:p>
      <w:pPr>
        <w:pStyle w:val="16"/>
        <w:numPr>
          <w:ilvl w:val="0"/>
          <w:numId w:val="1"/>
        </w:numPr>
        <w:spacing w:after="80" w:line="300" w:lineRule="auto"/>
        <w:rPr>
          <w:color w:val="auto"/>
        </w:rPr>
      </w:pPr>
      <w:r>
        <w:rPr>
          <w:color w:val="auto"/>
          <w:sz w:val="23"/>
          <w:szCs w:val="23"/>
        </w:rPr>
        <w:t>IoT sensor modules (temperature, humidity, GPS, door, refrigeration-unit health) connected via an IoT gateway.</w:t>
      </w:r>
    </w:p>
    <w:p>
      <w:pPr>
        <w:pStyle w:val="16"/>
        <w:numPr>
          <w:ilvl w:val="0"/>
          <w:numId w:val="1"/>
        </w:numPr>
        <w:spacing w:after="80" w:line="300" w:lineRule="auto"/>
        <w:rPr>
          <w:color w:val="auto"/>
        </w:rPr>
      </w:pPr>
      <w:r>
        <w:rPr>
          <w:color w:val="auto"/>
          <w:sz w:val="23"/>
          <w:szCs w:val="23"/>
        </w:rPr>
        <w:t>Gateway connectivity over 4G/5G, Wi-Fi, LoRa, or NB-IoT depending on vehicle/warehouse location.</w:t>
      </w:r>
    </w:p>
    <w:p>
      <w:pPr>
        <w:pStyle w:val="3"/>
        <w:spacing w:before="220" w:after="120"/>
        <w:rPr>
          <w:color w:val="auto"/>
        </w:rPr>
      </w:pPr>
      <w:r>
        <w:rPr>
          <w:b/>
          <w:bCs/>
          <w:color w:val="auto"/>
          <w:sz w:val="25"/>
          <w:szCs w:val="25"/>
        </w:rPr>
        <w:t>Software Interfaces</w:t>
      </w:r>
    </w:p>
    <w:p>
      <w:pPr>
        <w:pStyle w:val="16"/>
        <w:numPr>
          <w:ilvl w:val="0"/>
          <w:numId w:val="1"/>
        </w:numPr>
        <w:spacing w:after="80" w:line="300" w:lineRule="auto"/>
        <w:rPr>
          <w:color w:val="auto"/>
        </w:rPr>
      </w:pPr>
      <w:r>
        <w:rPr>
          <w:color w:val="auto"/>
          <w:sz w:val="23"/>
          <w:szCs w:val="23"/>
        </w:rPr>
        <w:t>MQTT-based message broker for sensor ingestion; REST/HTTPS APIs for dashboard and mobile clients.</w:t>
      </w:r>
    </w:p>
    <w:p>
      <w:pPr>
        <w:pStyle w:val="16"/>
        <w:numPr>
          <w:ilvl w:val="0"/>
          <w:numId w:val="1"/>
        </w:numPr>
        <w:spacing w:after="80" w:line="300" w:lineRule="auto"/>
        <w:rPr>
          <w:color w:val="auto"/>
        </w:rPr>
      </w:pPr>
      <w:r>
        <w:rPr>
          <w:color w:val="auto"/>
          <w:sz w:val="23"/>
          <w:szCs w:val="23"/>
        </w:rPr>
        <w:t>Third-party SMS/Email gateway API for alert delivery.</w:t>
      </w:r>
    </w:p>
    <w:p>
      <w:pPr>
        <w:pStyle w:val="16"/>
        <w:numPr>
          <w:ilvl w:val="0"/>
          <w:numId w:val="1"/>
        </w:numPr>
        <w:spacing w:after="80" w:line="300" w:lineRule="auto"/>
        <w:rPr>
          <w:color w:val="auto"/>
        </w:rPr>
      </w:pPr>
      <w:r>
        <w:rPr>
          <w:color w:val="auto"/>
          <w:sz w:val="23"/>
          <w:szCs w:val="23"/>
        </w:rPr>
        <w:t>Integration APIs for external ERP/WMS and logistics partner systems.</w:t>
      </w:r>
    </w:p>
    <w:p>
      <w:pPr>
        <w:pStyle w:val="16"/>
        <w:numPr>
          <w:ilvl w:val="0"/>
          <w:numId w:val="1"/>
        </w:numPr>
        <w:spacing w:after="80" w:line="300" w:lineRule="auto"/>
        <w:rPr>
          <w:color w:val="auto"/>
        </w:rPr>
      </w:pPr>
      <w:r>
        <w:rPr>
          <w:color w:val="auto"/>
          <w:sz w:val="23"/>
          <w:szCs w:val="23"/>
        </w:rPr>
        <w:t>Secure export/submission interface for regulatory authority portals.</w:t>
      </w:r>
    </w:p>
    <w:p>
      <w:pPr>
        <w:pStyle w:val="3"/>
        <w:spacing w:before="220" w:after="120"/>
        <w:rPr>
          <w:color w:val="auto"/>
        </w:rPr>
      </w:pPr>
      <w:r>
        <w:rPr>
          <w:b/>
          <w:bCs/>
          <w:color w:val="auto"/>
          <w:sz w:val="25"/>
          <w:szCs w:val="25"/>
        </w:rPr>
        <w:t>Communication Interfaces</w:t>
      </w:r>
    </w:p>
    <w:p>
      <w:pPr>
        <w:pStyle w:val="16"/>
        <w:numPr>
          <w:ilvl w:val="0"/>
          <w:numId w:val="1"/>
        </w:numPr>
        <w:spacing w:after="80" w:line="300" w:lineRule="auto"/>
        <w:rPr>
          <w:color w:val="auto"/>
        </w:rPr>
      </w:pPr>
      <w:r>
        <w:rPr>
          <w:color w:val="auto"/>
          <w:sz w:val="23"/>
          <w:szCs w:val="23"/>
        </w:rPr>
        <w:t>Encrypted communication (TLS 1.2+) between edge devices, gateway, and cloud platform.</w:t>
      </w:r>
    </w:p>
    <w:p>
      <w:pPr>
        <w:pStyle w:val="16"/>
        <w:numPr>
          <w:ilvl w:val="0"/>
          <w:numId w:val="1"/>
        </w:numPr>
        <w:spacing w:after="80" w:line="300" w:lineRule="auto"/>
        <w:rPr>
          <w:color w:val="auto"/>
        </w:rPr>
      </w:pPr>
      <w:r>
        <w:rPr>
          <w:color w:val="auto"/>
          <w:sz w:val="23"/>
          <w:szCs w:val="23"/>
        </w:rPr>
        <w:t>OAuth 2.0-secured APIs for all client and third-party integrations.</w:t>
      </w:r>
    </w:p>
    <w:p>
      <w:pPr>
        <w:pStyle w:val="2"/>
        <w:spacing w:before="320" w:after="160"/>
        <w:rPr>
          <w:color w:val="auto"/>
        </w:rPr>
      </w:pPr>
      <w:r>
        <w:rPr>
          <w:b/>
          <w:bCs/>
          <w:color w:val="auto"/>
          <w:sz w:val="30"/>
          <w:szCs w:val="30"/>
        </w:rPr>
        <w:t>XI. System Features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5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A3C5E"/>
            <w:tcMar>
              <w:top w:w="80" w:type="dxa"/>
              <w:left w:w="100" w:type="dxa"/>
              <w:bottom w:w="80" w:type="dxa"/>
              <w:right w:w="100" w:type="dxa"/>
            </w:tcMar>
          </w:tcPr>
          <w:p>
            <w:pPr>
              <w:rPr>
                <w:color w:val="auto"/>
              </w:rPr>
            </w:pPr>
            <w:r>
              <w:rPr>
                <w:b/>
                <w:bCs/>
                <w:color w:val="auto"/>
                <w:sz w:val="21"/>
                <w:szCs w:val="21"/>
              </w:rPr>
              <w:t>Feature</w:t>
            </w:r>
          </w:p>
        </w:tc>
        <w:tc>
          <w:tcPr>
            <w:tcW w:w="1200" w:type="dxa"/>
            <w:shd w:val="clear" w:color="auto" w:fill="1A3C5E"/>
            <w:tcMar>
              <w:top w:w="80" w:type="dxa"/>
              <w:left w:w="100" w:type="dxa"/>
              <w:bottom w:w="80" w:type="dxa"/>
              <w:right w:w="100" w:type="dxa"/>
            </w:tcMar>
          </w:tcPr>
          <w:p>
            <w:pPr>
              <w:rPr>
                <w:color w:val="auto"/>
              </w:rPr>
            </w:pPr>
            <w:r>
              <w:rPr>
                <w:b/>
                <w:bCs/>
                <w:color w:val="auto"/>
                <w:sz w:val="21"/>
                <w:szCs w:val="21"/>
              </w:rPr>
              <w:t>Priority</w:t>
            </w:r>
          </w:p>
        </w:tc>
        <w:tc>
          <w:tcPr>
            <w:tcW w:w="5800" w:type="dxa"/>
            <w:shd w:val="clear" w:color="auto" w:fill="1A3C5E"/>
            <w:tcMar>
              <w:top w:w="80" w:type="dxa"/>
              <w:left w:w="100" w:type="dxa"/>
              <w:bottom w:w="80" w:type="dxa"/>
              <w:right w:w="100" w:type="dxa"/>
            </w:tcMar>
          </w:tcPr>
          <w:p>
            <w:pPr>
              <w:rPr>
                <w:color w:val="auto"/>
              </w:rPr>
            </w:pPr>
            <w:r>
              <w:rPr>
                <w:b/>
                <w:bCs/>
                <w:color w:val="auto"/>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8FB"/>
            <w:tcMar>
              <w:top w:w="80" w:type="dxa"/>
              <w:left w:w="100" w:type="dxa"/>
              <w:bottom w:w="80" w:type="dxa"/>
              <w:right w:w="100" w:type="dxa"/>
            </w:tcMar>
          </w:tcPr>
          <w:p>
            <w:pPr>
              <w:rPr>
                <w:color w:val="auto"/>
              </w:rPr>
            </w:pPr>
            <w:r>
              <w:rPr>
                <w:b w:val="0"/>
                <w:bCs w:val="0"/>
                <w:color w:val="auto"/>
                <w:sz w:val="21"/>
                <w:szCs w:val="21"/>
              </w:rPr>
              <w:t>Real-Time Shipment Monitoring</w:t>
            </w:r>
          </w:p>
        </w:tc>
        <w:tc>
          <w:tcPr>
            <w:tcW w:w="1200" w:type="dxa"/>
            <w:shd w:val="clear" w:color="auto" w:fill="F4F8FB"/>
            <w:tcMar>
              <w:top w:w="80" w:type="dxa"/>
              <w:left w:w="100" w:type="dxa"/>
              <w:bottom w:w="80" w:type="dxa"/>
              <w:right w:w="100" w:type="dxa"/>
            </w:tcMar>
          </w:tcPr>
          <w:p>
            <w:pPr>
              <w:rPr>
                <w:color w:val="auto"/>
              </w:rPr>
            </w:pPr>
            <w:r>
              <w:rPr>
                <w:b w:val="0"/>
                <w:bCs w:val="0"/>
                <w:color w:val="auto"/>
                <w:sz w:val="21"/>
                <w:szCs w:val="21"/>
              </w:rPr>
              <w:t>High</w:t>
            </w:r>
          </w:p>
        </w:tc>
        <w:tc>
          <w:tcPr>
            <w:tcW w:w="5800" w:type="dxa"/>
            <w:shd w:val="clear" w:color="auto" w:fill="F4F8FB"/>
            <w:tcMar>
              <w:top w:w="80" w:type="dxa"/>
              <w:left w:w="100" w:type="dxa"/>
              <w:bottom w:w="80" w:type="dxa"/>
              <w:right w:w="100" w:type="dxa"/>
            </w:tcMar>
          </w:tcPr>
          <w:p>
            <w:pPr>
              <w:rPr>
                <w:color w:val="auto"/>
              </w:rPr>
            </w:pPr>
            <w:r>
              <w:rPr>
                <w:b w:val="0"/>
                <w:bCs w:val="0"/>
                <w:color w:val="auto"/>
                <w:sz w:val="21"/>
                <w:szCs w:val="21"/>
              </w:rPr>
              <w:t>Continuous ingestion and visualisation of environmental data. Related: FR-02, FR-04, UC-01.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pPr>
              <w:rPr>
                <w:color w:val="auto"/>
              </w:rPr>
            </w:pPr>
            <w:r>
              <w:rPr>
                <w:b w:val="0"/>
                <w:bCs w:val="0"/>
                <w:color w:val="auto"/>
                <w:sz w:val="21"/>
                <w:szCs w:val="21"/>
              </w:rPr>
              <w:t>Predictive Maintenance &amp; Risk Scoring</w:t>
            </w:r>
          </w:p>
        </w:tc>
        <w:tc>
          <w:tcPr>
            <w:tcW w:w="1200" w:type="dxa"/>
            <w:shd w:val="clear" w:color="auto" w:fill="FFFFFF"/>
            <w:tcMar>
              <w:top w:w="80" w:type="dxa"/>
              <w:left w:w="100" w:type="dxa"/>
              <w:bottom w:w="80" w:type="dxa"/>
              <w:right w:w="100" w:type="dxa"/>
            </w:tcMar>
          </w:tcPr>
          <w:p>
            <w:pPr>
              <w:rPr>
                <w:color w:val="auto"/>
              </w:rPr>
            </w:pPr>
            <w:r>
              <w:rPr>
                <w:b w:val="0"/>
                <w:bCs w:val="0"/>
                <w:color w:val="auto"/>
                <w:sz w:val="21"/>
                <w:szCs w:val="21"/>
              </w:rPr>
              <w:t>High</w:t>
            </w:r>
          </w:p>
        </w:tc>
        <w:tc>
          <w:tcPr>
            <w:tcW w:w="5800" w:type="dxa"/>
            <w:shd w:val="clear" w:color="auto" w:fill="FFFFFF"/>
            <w:tcMar>
              <w:top w:w="80" w:type="dxa"/>
              <w:left w:w="100" w:type="dxa"/>
              <w:bottom w:w="80" w:type="dxa"/>
              <w:right w:w="100" w:type="dxa"/>
            </w:tcMar>
          </w:tcPr>
          <w:p>
            <w:pPr>
              <w:rPr>
                <w:color w:val="auto"/>
              </w:rPr>
            </w:pPr>
            <w:r>
              <w:rPr>
                <w:b w:val="0"/>
                <w:bCs w:val="0"/>
                <w:color w:val="auto"/>
                <w:sz w:val="21"/>
                <w:szCs w:val="21"/>
              </w:rPr>
              <w:t>AI-driven anomaly detection and failure prediction to enable proactive action. Related: FR-05, UC-02, UC-10.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8FB"/>
            <w:tcMar>
              <w:top w:w="80" w:type="dxa"/>
              <w:left w:w="100" w:type="dxa"/>
              <w:bottom w:w="80" w:type="dxa"/>
              <w:right w:w="100" w:type="dxa"/>
            </w:tcMar>
          </w:tcPr>
          <w:p>
            <w:pPr>
              <w:rPr>
                <w:color w:val="auto"/>
              </w:rPr>
            </w:pPr>
            <w:r>
              <w:rPr>
                <w:b w:val="0"/>
                <w:bCs w:val="0"/>
                <w:color w:val="auto"/>
                <w:sz w:val="21"/>
                <w:szCs w:val="21"/>
              </w:rPr>
              <w:t>Automated Alerting</w:t>
            </w:r>
          </w:p>
        </w:tc>
        <w:tc>
          <w:tcPr>
            <w:tcW w:w="1200" w:type="dxa"/>
            <w:shd w:val="clear" w:color="auto" w:fill="F4F8FB"/>
            <w:tcMar>
              <w:top w:w="80" w:type="dxa"/>
              <w:left w:w="100" w:type="dxa"/>
              <w:bottom w:w="80" w:type="dxa"/>
              <w:right w:w="100" w:type="dxa"/>
            </w:tcMar>
          </w:tcPr>
          <w:p>
            <w:pPr>
              <w:rPr>
                <w:color w:val="auto"/>
              </w:rPr>
            </w:pPr>
            <w:r>
              <w:rPr>
                <w:b w:val="0"/>
                <w:bCs w:val="0"/>
                <w:color w:val="auto"/>
                <w:sz w:val="21"/>
                <w:szCs w:val="21"/>
              </w:rPr>
              <w:t>High</w:t>
            </w:r>
          </w:p>
        </w:tc>
        <w:tc>
          <w:tcPr>
            <w:tcW w:w="5800" w:type="dxa"/>
            <w:shd w:val="clear" w:color="auto" w:fill="F4F8FB"/>
            <w:tcMar>
              <w:top w:w="80" w:type="dxa"/>
              <w:left w:w="100" w:type="dxa"/>
              <w:bottom w:w="80" w:type="dxa"/>
              <w:right w:w="100" w:type="dxa"/>
            </w:tcMar>
          </w:tcPr>
          <w:p>
            <w:pPr>
              <w:rPr>
                <w:color w:val="auto"/>
              </w:rPr>
            </w:pPr>
            <w:r>
              <w:rPr>
                <w:b w:val="0"/>
                <w:bCs w:val="0"/>
                <w:color w:val="auto"/>
                <w:sz w:val="21"/>
                <w:szCs w:val="21"/>
              </w:rPr>
              <w:t>Multi-channel notification when readings breach configured thresholds. Related: FR-03, UC-03.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pPr>
              <w:rPr>
                <w:color w:val="auto"/>
              </w:rPr>
            </w:pPr>
            <w:r>
              <w:rPr>
                <w:b w:val="0"/>
                <w:bCs w:val="0"/>
                <w:color w:val="auto"/>
                <w:sz w:val="21"/>
                <w:szCs w:val="21"/>
              </w:rPr>
              <w:t>Automated Compliance Reporting</w:t>
            </w:r>
          </w:p>
        </w:tc>
        <w:tc>
          <w:tcPr>
            <w:tcW w:w="1200" w:type="dxa"/>
            <w:shd w:val="clear" w:color="auto" w:fill="FFFFFF"/>
            <w:tcMar>
              <w:top w:w="80" w:type="dxa"/>
              <w:left w:w="100" w:type="dxa"/>
              <w:bottom w:w="80" w:type="dxa"/>
              <w:right w:w="100" w:type="dxa"/>
            </w:tcMar>
          </w:tcPr>
          <w:p>
            <w:pPr>
              <w:rPr>
                <w:color w:val="auto"/>
              </w:rPr>
            </w:pPr>
            <w:r>
              <w:rPr>
                <w:b w:val="0"/>
                <w:bCs w:val="0"/>
                <w:color w:val="auto"/>
                <w:sz w:val="21"/>
                <w:szCs w:val="21"/>
              </w:rPr>
              <w:t>Medium</w:t>
            </w:r>
          </w:p>
        </w:tc>
        <w:tc>
          <w:tcPr>
            <w:tcW w:w="5800" w:type="dxa"/>
            <w:shd w:val="clear" w:color="auto" w:fill="FFFFFF"/>
            <w:tcMar>
              <w:top w:w="80" w:type="dxa"/>
              <w:left w:w="100" w:type="dxa"/>
              <w:bottom w:w="80" w:type="dxa"/>
              <w:right w:w="100" w:type="dxa"/>
            </w:tcMar>
          </w:tcPr>
          <w:p>
            <w:pPr>
              <w:rPr>
                <w:color w:val="auto"/>
              </w:rPr>
            </w:pPr>
            <w:r>
              <w:rPr>
                <w:b w:val="0"/>
                <w:bCs w:val="0"/>
                <w:color w:val="auto"/>
                <w:sz w:val="21"/>
                <w:szCs w:val="21"/>
              </w:rPr>
              <w:t>One-click, audit-ready PDF report generation and tamper-evident logging. Related: FR-06, UC-04.</w:t>
            </w:r>
          </w:p>
        </w:tc>
      </w:tr>
      <w:tr>
        <w:tblPrEx>
          <w:tblCellMar>
            <w:top w:w="0" w:type="dxa"/>
            <w:left w:w="10" w:type="dxa"/>
            <w:bottom w:w="0" w:type="dxa"/>
            <w:right w:w="10" w:type="dxa"/>
          </w:tblCellMar>
        </w:tblPrEx>
        <w:tc>
          <w:tcPr>
            <w:tcW w:w="2400" w:type="dxa"/>
            <w:shd w:val="clear" w:color="auto" w:fill="F4F8FB"/>
            <w:tcMar>
              <w:top w:w="80" w:type="dxa"/>
              <w:left w:w="100" w:type="dxa"/>
              <w:bottom w:w="80" w:type="dxa"/>
              <w:right w:w="100" w:type="dxa"/>
            </w:tcMar>
          </w:tcPr>
          <w:p>
            <w:pPr>
              <w:rPr>
                <w:color w:val="auto"/>
              </w:rPr>
            </w:pPr>
            <w:r>
              <w:rPr>
                <w:b w:val="0"/>
                <w:bCs w:val="0"/>
                <w:color w:val="auto"/>
                <w:sz w:val="21"/>
                <w:szCs w:val="21"/>
              </w:rPr>
              <w:t>Role-Based Access Control</w:t>
            </w:r>
          </w:p>
        </w:tc>
        <w:tc>
          <w:tcPr>
            <w:tcW w:w="1200" w:type="dxa"/>
            <w:shd w:val="clear" w:color="auto" w:fill="F4F8FB"/>
            <w:tcMar>
              <w:top w:w="80" w:type="dxa"/>
              <w:left w:w="100" w:type="dxa"/>
              <w:bottom w:w="80" w:type="dxa"/>
              <w:right w:w="100" w:type="dxa"/>
            </w:tcMar>
          </w:tcPr>
          <w:p>
            <w:pPr>
              <w:rPr>
                <w:color w:val="auto"/>
              </w:rPr>
            </w:pPr>
            <w:r>
              <w:rPr>
                <w:b w:val="0"/>
                <w:bCs w:val="0"/>
                <w:color w:val="auto"/>
                <w:sz w:val="21"/>
                <w:szCs w:val="21"/>
              </w:rPr>
              <w:t>Medium</w:t>
            </w:r>
          </w:p>
        </w:tc>
        <w:tc>
          <w:tcPr>
            <w:tcW w:w="5800" w:type="dxa"/>
            <w:shd w:val="clear" w:color="auto" w:fill="F4F8FB"/>
            <w:tcMar>
              <w:top w:w="80" w:type="dxa"/>
              <w:left w:w="100" w:type="dxa"/>
              <w:bottom w:w="80" w:type="dxa"/>
              <w:right w:w="100" w:type="dxa"/>
            </w:tcMar>
          </w:tcPr>
          <w:p>
            <w:pPr>
              <w:rPr>
                <w:color w:val="auto"/>
              </w:rPr>
            </w:pPr>
            <w:r>
              <w:rPr>
                <w:b w:val="0"/>
                <w:bCs w:val="0"/>
                <w:color w:val="auto"/>
                <w:sz w:val="21"/>
                <w:szCs w:val="21"/>
              </w:rPr>
              <w:t>Differentiated dashboards and permissions per actor role. Related: FR-01.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pPr>
              <w:rPr>
                <w:color w:val="auto"/>
              </w:rPr>
            </w:pPr>
            <w:r>
              <w:rPr>
                <w:b w:val="0"/>
                <w:bCs w:val="0"/>
                <w:color w:val="auto"/>
                <w:sz w:val="21"/>
                <w:szCs w:val="21"/>
              </w:rPr>
              <w:t>Driver Mobile Workflow</w:t>
            </w:r>
          </w:p>
        </w:tc>
        <w:tc>
          <w:tcPr>
            <w:tcW w:w="1200" w:type="dxa"/>
            <w:shd w:val="clear" w:color="auto" w:fill="FFFFFF"/>
            <w:tcMar>
              <w:top w:w="80" w:type="dxa"/>
              <w:left w:w="100" w:type="dxa"/>
              <w:bottom w:w="80" w:type="dxa"/>
              <w:right w:w="100" w:type="dxa"/>
            </w:tcMar>
          </w:tcPr>
          <w:p>
            <w:pPr>
              <w:rPr>
                <w:color w:val="auto"/>
              </w:rPr>
            </w:pPr>
            <w:r>
              <w:rPr>
                <w:b w:val="0"/>
                <w:bCs w:val="0"/>
                <w:color w:val="auto"/>
                <w:sz w:val="21"/>
                <w:szCs w:val="21"/>
              </w:rPr>
              <w:t>Medium</w:t>
            </w:r>
          </w:p>
        </w:tc>
        <w:tc>
          <w:tcPr>
            <w:tcW w:w="5800" w:type="dxa"/>
            <w:shd w:val="clear" w:color="auto" w:fill="FFFFFF"/>
            <w:tcMar>
              <w:top w:w="80" w:type="dxa"/>
              <w:left w:w="100" w:type="dxa"/>
              <w:bottom w:w="80" w:type="dxa"/>
              <w:right w:w="100" w:type="dxa"/>
            </w:tcMar>
          </w:tcPr>
          <w:p>
            <w:pPr>
              <w:rPr>
                <w:color w:val="auto"/>
              </w:rPr>
            </w:pPr>
            <w:r>
              <w:rPr>
                <w:b w:val="0"/>
                <w:bCs w:val="0"/>
                <w:color w:val="auto"/>
                <w:sz w:val="21"/>
                <w:szCs w:val="21"/>
              </w:rPr>
              <w:t>Status updates and issue reporting from the field. Related: FR-07, UC-05, UC-06.</w:t>
            </w:r>
          </w:p>
        </w:tc>
      </w:tr>
      <w:tr>
        <w:tblPrEx>
          <w:tblCellMar>
            <w:top w:w="0" w:type="dxa"/>
            <w:left w:w="10" w:type="dxa"/>
            <w:bottom w:w="0" w:type="dxa"/>
            <w:right w:w="10" w:type="dxa"/>
          </w:tblCellMar>
        </w:tblPrEx>
        <w:tc>
          <w:tcPr>
            <w:tcW w:w="2400" w:type="dxa"/>
            <w:shd w:val="clear" w:color="auto" w:fill="F4F8FB"/>
            <w:tcMar>
              <w:top w:w="80" w:type="dxa"/>
              <w:left w:w="100" w:type="dxa"/>
              <w:bottom w:w="80" w:type="dxa"/>
              <w:right w:w="100" w:type="dxa"/>
            </w:tcMar>
          </w:tcPr>
          <w:p>
            <w:pPr>
              <w:rPr>
                <w:color w:val="auto"/>
              </w:rPr>
            </w:pPr>
            <w:r>
              <w:rPr>
                <w:b w:val="0"/>
                <w:bCs w:val="0"/>
                <w:color w:val="auto"/>
                <w:sz w:val="21"/>
                <w:szCs w:val="21"/>
              </w:rPr>
              <w:t>Customer Shipment Tracking</w:t>
            </w:r>
          </w:p>
        </w:tc>
        <w:tc>
          <w:tcPr>
            <w:tcW w:w="1200" w:type="dxa"/>
            <w:shd w:val="clear" w:color="auto" w:fill="F4F8FB"/>
            <w:tcMar>
              <w:top w:w="80" w:type="dxa"/>
              <w:left w:w="100" w:type="dxa"/>
              <w:bottom w:w="80" w:type="dxa"/>
              <w:right w:w="100" w:type="dxa"/>
            </w:tcMar>
          </w:tcPr>
          <w:p>
            <w:pPr>
              <w:rPr>
                <w:color w:val="auto"/>
              </w:rPr>
            </w:pPr>
            <w:r>
              <w:rPr>
                <w:b w:val="0"/>
                <w:bCs w:val="0"/>
                <w:color w:val="auto"/>
                <w:sz w:val="21"/>
                <w:szCs w:val="21"/>
              </w:rPr>
              <w:t>Low</w:t>
            </w:r>
          </w:p>
        </w:tc>
        <w:tc>
          <w:tcPr>
            <w:tcW w:w="5800" w:type="dxa"/>
            <w:shd w:val="clear" w:color="auto" w:fill="F4F8FB"/>
            <w:tcMar>
              <w:top w:w="80" w:type="dxa"/>
              <w:left w:w="100" w:type="dxa"/>
              <w:bottom w:w="80" w:type="dxa"/>
              <w:right w:w="100" w:type="dxa"/>
            </w:tcMar>
          </w:tcPr>
          <w:p>
            <w:pPr>
              <w:rPr>
                <w:color w:val="auto"/>
              </w:rPr>
            </w:pPr>
            <w:r>
              <w:rPr>
                <w:b w:val="0"/>
                <w:bCs w:val="0"/>
                <w:color w:val="auto"/>
                <w:sz w:val="21"/>
                <w:szCs w:val="21"/>
              </w:rPr>
              <w:t>Customer-facing visibility into shipment location and delivery status. Related: FR-08, UC-08.</w:t>
            </w:r>
          </w:p>
        </w:tc>
      </w:tr>
    </w:tbl>
    <w:p>
      <w:pPr>
        <w:pStyle w:val="2"/>
        <w:spacing w:before="320" w:after="160"/>
        <w:rPr>
          <w:color w:val="auto"/>
        </w:rPr>
      </w:pPr>
      <w:r>
        <w:rPr>
          <w:b/>
          <w:bCs/>
          <w:color w:val="auto"/>
          <w:sz w:val="30"/>
          <w:szCs w:val="30"/>
        </w:rPr>
        <w:t>XII. Assumptions</w:t>
      </w:r>
    </w:p>
    <w:p>
      <w:pPr>
        <w:pStyle w:val="16"/>
        <w:numPr>
          <w:ilvl w:val="0"/>
          <w:numId w:val="1"/>
        </w:numPr>
        <w:spacing w:after="80" w:line="300" w:lineRule="auto"/>
        <w:rPr>
          <w:color w:val="auto"/>
        </w:rPr>
      </w:pPr>
      <w:r>
        <w:rPr>
          <w:color w:val="auto"/>
          <w:sz w:val="23"/>
          <w:szCs w:val="23"/>
        </w:rPr>
        <w:t>All refrigerated vehicles and storage units can be fitted with compatible IoT sensor hardware.</w:t>
      </w:r>
    </w:p>
    <w:p>
      <w:pPr>
        <w:pStyle w:val="16"/>
        <w:numPr>
          <w:ilvl w:val="0"/>
          <w:numId w:val="1"/>
        </w:numPr>
        <w:spacing w:after="80" w:line="300" w:lineRule="auto"/>
        <w:rPr>
          <w:color w:val="auto"/>
        </w:rPr>
      </w:pPr>
      <w:r>
        <w:rPr>
          <w:color w:val="auto"/>
          <w:sz w:val="23"/>
          <w:szCs w:val="23"/>
        </w:rPr>
        <w:t>A stable cellular or Wi-Fi connection is available along the majority of transport routes.</w:t>
      </w:r>
    </w:p>
    <w:p>
      <w:pPr>
        <w:pStyle w:val="16"/>
        <w:numPr>
          <w:ilvl w:val="0"/>
          <w:numId w:val="1"/>
        </w:numPr>
        <w:spacing w:after="80" w:line="300" w:lineRule="auto"/>
        <w:rPr>
          <w:color w:val="auto"/>
        </w:rPr>
      </w:pPr>
      <w:r>
        <w:rPr>
          <w:color w:val="auto"/>
          <w:sz w:val="23"/>
          <w:szCs w:val="23"/>
        </w:rPr>
        <w:t>Users have access to a smartphone or web browser to use the platform.</w:t>
      </w:r>
    </w:p>
    <w:p>
      <w:pPr>
        <w:pStyle w:val="16"/>
        <w:numPr>
          <w:ilvl w:val="0"/>
          <w:numId w:val="1"/>
        </w:numPr>
        <w:spacing w:after="80" w:line="300" w:lineRule="auto"/>
        <w:rPr>
          <w:color w:val="auto"/>
        </w:rPr>
      </w:pPr>
      <w:r>
        <w:rPr>
          <w:color w:val="auto"/>
          <w:sz w:val="23"/>
          <w:szCs w:val="23"/>
        </w:rPr>
        <w:t>Historical sensor data volumes are within the capacity planned for the cloud storage tier.</w:t>
      </w:r>
    </w:p>
    <w:p>
      <w:pPr>
        <w:pStyle w:val="16"/>
        <w:numPr>
          <w:ilvl w:val="0"/>
          <w:numId w:val="1"/>
        </w:numPr>
        <w:spacing w:after="80" w:line="300" w:lineRule="auto"/>
        <w:rPr>
          <w:color w:val="auto"/>
        </w:rPr>
      </w:pPr>
      <w:r>
        <w:rPr>
          <w:color w:val="auto"/>
          <w:sz w:val="23"/>
          <w:szCs w:val="23"/>
        </w:rPr>
        <w:t>Regulatory reporting formats (FDA, WHO, FSSAI) remain reasonably stable during initial development.</w:t>
      </w:r>
    </w:p>
    <w:p>
      <w:pPr>
        <w:pStyle w:val="2"/>
        <w:spacing w:before="320" w:after="160"/>
        <w:rPr>
          <w:color w:val="auto"/>
        </w:rPr>
      </w:pPr>
      <w:r>
        <w:rPr>
          <w:b/>
          <w:bCs/>
          <w:color w:val="auto"/>
          <w:sz w:val="30"/>
          <w:szCs w:val="30"/>
        </w:rPr>
        <w:t>XIII. Constraints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A3C5E"/>
            <w:tcMar>
              <w:top w:w="80" w:type="dxa"/>
              <w:left w:w="100" w:type="dxa"/>
              <w:bottom w:w="80" w:type="dxa"/>
              <w:right w:w="100" w:type="dxa"/>
            </w:tcMar>
          </w:tcPr>
          <w:p>
            <w:pPr>
              <w:rPr>
                <w:color w:val="auto"/>
              </w:rPr>
            </w:pPr>
            <w:r>
              <w:rPr>
                <w:b/>
                <w:bCs/>
                <w:color w:val="auto"/>
                <w:sz w:val="21"/>
                <w:szCs w:val="21"/>
              </w:rPr>
              <w:t>Category</w:t>
            </w:r>
          </w:p>
        </w:tc>
        <w:tc>
          <w:tcPr>
            <w:tcW w:w="7200" w:type="dxa"/>
            <w:shd w:val="clear" w:color="auto" w:fill="1A3C5E"/>
            <w:tcMar>
              <w:top w:w="80" w:type="dxa"/>
              <w:left w:w="100" w:type="dxa"/>
              <w:bottom w:w="80" w:type="dxa"/>
              <w:right w:w="100" w:type="dxa"/>
            </w:tcMar>
          </w:tcPr>
          <w:p>
            <w:pPr>
              <w:rPr>
                <w:color w:val="auto"/>
              </w:rPr>
            </w:pPr>
            <w:r>
              <w:rPr>
                <w:b/>
                <w:bCs/>
                <w:color w:val="auto"/>
                <w:sz w:val="21"/>
                <w:szCs w:val="21"/>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Technical</w:t>
            </w:r>
          </w:p>
        </w:tc>
        <w:tc>
          <w:tcPr>
            <w:tcW w:w="7200" w:type="dxa"/>
            <w:shd w:val="clear" w:color="auto" w:fill="F4F8FB"/>
            <w:tcMar>
              <w:top w:w="80" w:type="dxa"/>
              <w:left w:w="100" w:type="dxa"/>
              <w:bottom w:w="80" w:type="dxa"/>
              <w:right w:w="100" w:type="dxa"/>
            </w:tcMar>
          </w:tcPr>
          <w:p>
            <w:pPr>
              <w:rPr>
                <w:color w:val="auto"/>
              </w:rPr>
            </w:pPr>
            <w:r>
              <w:rPr>
                <w:b w:val="0"/>
                <w:bCs w:val="0"/>
                <w:color w:val="auto"/>
                <w:sz w:val="21"/>
                <w:szCs w:val="21"/>
              </w:rPr>
              <w:t>Dependence on continuous network connectivity; GPS signal loss in tunnels, remote areas, or underground storage.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Operational</w:t>
            </w:r>
          </w:p>
        </w:tc>
        <w:tc>
          <w:tcPr>
            <w:tcW w:w="7200" w:type="dxa"/>
            <w:shd w:val="clear" w:color="auto" w:fill="FFFFFF"/>
            <w:tcMar>
              <w:top w:w="80" w:type="dxa"/>
              <w:left w:w="100" w:type="dxa"/>
              <w:bottom w:w="80" w:type="dxa"/>
              <w:right w:w="100" w:type="dxa"/>
            </w:tcMar>
          </w:tcPr>
          <w:p>
            <w:pPr>
              <w:rPr>
                <w:color w:val="auto"/>
              </w:rPr>
            </w:pPr>
            <w:r>
              <w:rPr>
                <w:b w:val="0"/>
                <w:bCs w:val="0"/>
                <w:color w:val="auto"/>
                <w:sz w:val="21"/>
                <w:szCs w:val="21"/>
              </w:rPr>
              <w:t>Requires periodic sensor calibration and battery/hardware maintenance across a distributed device fleet.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Economic</w:t>
            </w:r>
          </w:p>
        </w:tc>
        <w:tc>
          <w:tcPr>
            <w:tcW w:w="7200" w:type="dxa"/>
            <w:shd w:val="clear" w:color="auto" w:fill="F4F8FB"/>
            <w:tcMar>
              <w:top w:w="80" w:type="dxa"/>
              <w:left w:w="100" w:type="dxa"/>
              <w:bottom w:w="80" w:type="dxa"/>
              <w:right w:w="100" w:type="dxa"/>
            </w:tcMar>
          </w:tcPr>
          <w:p>
            <w:pPr>
              <w:rPr>
                <w:color w:val="auto"/>
              </w:rPr>
            </w:pPr>
            <w:r>
              <w:rPr>
                <w:b w:val="0"/>
                <w:bCs w:val="0"/>
                <w:color w:val="auto"/>
                <w:sz w:val="21"/>
                <w:szCs w:val="21"/>
              </w:rPr>
              <w:t>High initial hardware and installation cost; ongoing cloud infrastructure and connectivity costs.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tcPr>
          <w:p>
            <w:pPr>
              <w:rPr>
                <w:color w:val="auto"/>
              </w:rPr>
            </w:pPr>
            <w:r>
              <w:rPr>
                <w:b w:val="0"/>
                <w:bCs w:val="0"/>
                <w:color w:val="auto"/>
                <w:sz w:val="21"/>
                <w:szCs w:val="21"/>
              </w:rPr>
              <w:t>Legal / Regulatory</w:t>
            </w:r>
          </w:p>
        </w:tc>
        <w:tc>
          <w:tcPr>
            <w:tcW w:w="7200" w:type="dxa"/>
            <w:shd w:val="clear" w:color="auto" w:fill="FFFFFF"/>
            <w:tcMar>
              <w:top w:w="80" w:type="dxa"/>
              <w:left w:w="100" w:type="dxa"/>
              <w:bottom w:w="80" w:type="dxa"/>
              <w:right w:w="100" w:type="dxa"/>
            </w:tcMar>
          </w:tcPr>
          <w:p>
            <w:pPr>
              <w:rPr>
                <w:color w:val="auto"/>
              </w:rPr>
            </w:pPr>
            <w:r>
              <w:rPr>
                <w:b w:val="0"/>
                <w:bCs w:val="0"/>
                <w:color w:val="auto"/>
                <w:sz w:val="21"/>
                <w:szCs w:val="21"/>
              </w:rPr>
              <w:t>Must comply with region-specific standards (FDA, WHO, FSSAI, ISO 22000) and data-protection regulations.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4F8FB"/>
            <w:tcMar>
              <w:top w:w="80" w:type="dxa"/>
              <w:left w:w="100" w:type="dxa"/>
              <w:bottom w:w="80" w:type="dxa"/>
              <w:right w:w="100" w:type="dxa"/>
            </w:tcMar>
          </w:tcPr>
          <w:p>
            <w:pPr>
              <w:rPr>
                <w:color w:val="auto"/>
              </w:rPr>
            </w:pPr>
            <w:r>
              <w:rPr>
                <w:b w:val="0"/>
                <w:bCs w:val="0"/>
                <w:color w:val="auto"/>
                <w:sz w:val="21"/>
                <w:szCs w:val="21"/>
              </w:rPr>
              <w:t>Time</w:t>
            </w:r>
          </w:p>
        </w:tc>
        <w:tc>
          <w:tcPr>
            <w:tcW w:w="7200" w:type="dxa"/>
            <w:shd w:val="clear" w:color="auto" w:fill="F4F8FB"/>
            <w:tcMar>
              <w:top w:w="80" w:type="dxa"/>
              <w:left w:w="100" w:type="dxa"/>
              <w:bottom w:w="80" w:type="dxa"/>
              <w:right w:w="100" w:type="dxa"/>
            </w:tcMar>
          </w:tcPr>
          <w:p>
            <w:pPr>
              <w:rPr>
                <w:color w:val="auto"/>
              </w:rPr>
            </w:pPr>
            <w:r>
              <w:rPr>
                <w:b w:val="0"/>
                <w:bCs w:val="0"/>
                <w:color w:val="auto"/>
                <w:sz w:val="21"/>
                <w:szCs w:val="21"/>
              </w:rPr>
              <w:t>Sprint-based delivery must align with the Agile Scrum schedule; delays in IoT hardware procurement can affect pilot timelines.</w:t>
            </w:r>
          </w:p>
        </w:tc>
      </w:tr>
    </w:tbl>
    <w:p>
      <w:pPr>
        <w:pStyle w:val="2"/>
        <w:spacing w:before="320" w:after="160"/>
        <w:rPr>
          <w:color w:val="auto"/>
        </w:rPr>
      </w:pPr>
      <w:r>
        <w:rPr>
          <w:b/>
          <w:bCs/>
          <w:color w:val="auto"/>
          <w:sz w:val="30"/>
          <w:szCs w:val="30"/>
        </w:rPr>
        <w:t>XIV. Requirement Validation</w:t>
      </w:r>
    </w:p>
    <w:p>
      <w:pPr>
        <w:pStyle w:val="3"/>
        <w:spacing w:before="220" w:after="120"/>
        <w:rPr>
          <w:color w:val="auto"/>
        </w:rPr>
      </w:pPr>
      <w:r>
        <w:rPr>
          <w:b/>
          <w:bCs/>
          <w:color w:val="auto"/>
          <w:sz w:val="25"/>
          <w:szCs w:val="25"/>
        </w:rPr>
        <w:t>Completeness Check</w:t>
      </w:r>
    </w:p>
    <w:p>
      <w:pPr>
        <w:spacing w:after="140" w:line="300" w:lineRule="auto"/>
        <w:jc w:val="both"/>
        <w:rPr>
          <w:color w:val="auto"/>
        </w:rPr>
      </w:pPr>
      <w:r>
        <w:rPr>
          <w:color w:val="auto"/>
          <w:sz w:val="23"/>
          <w:szCs w:val="23"/>
        </w:rPr>
        <w:t>Each stakeholder identified in Section IV has at least one corresponding actor, use case, and functional requirement: Administrator → FR-01/UC-Manage Users; Logistics Manager → FR-02–FR-06/UC-01–UC-04; Driver → FR-07/UC-05–UC-06; Warehouse Manager → FR-09/UC-07; Customer → FR-08/UC-08; Regulatory Authority → FR-06/UC-04. No stakeholder from the analysis is left without a mapped requirement.</w:t>
      </w:r>
    </w:p>
    <w:p>
      <w:pPr>
        <w:pStyle w:val="3"/>
        <w:spacing w:before="220" w:after="120"/>
        <w:rPr>
          <w:color w:val="auto"/>
        </w:rPr>
      </w:pPr>
      <w:r>
        <w:rPr>
          <w:b/>
          <w:bCs/>
          <w:color w:val="auto"/>
          <w:sz w:val="25"/>
          <w:szCs w:val="25"/>
        </w:rPr>
        <w:t>Consistency and Ambiguity Check</w:t>
      </w:r>
    </w:p>
    <w:p>
      <w:pPr>
        <w:pStyle w:val="16"/>
        <w:numPr>
          <w:ilvl w:val="0"/>
          <w:numId w:val="1"/>
        </w:numPr>
        <w:spacing w:after="80" w:line="300" w:lineRule="auto"/>
        <w:rPr>
          <w:color w:val="auto"/>
        </w:rPr>
      </w:pPr>
      <w:r>
        <w:rPr>
          <w:color w:val="auto"/>
          <w:sz w:val="23"/>
          <w:szCs w:val="23"/>
        </w:rPr>
        <w:t>Terminology is kept consistent (“shipment,” “device,” “actor” used uniformly rather than mixing synonyms).</w:t>
      </w:r>
    </w:p>
    <w:p>
      <w:pPr>
        <w:pStyle w:val="16"/>
        <w:numPr>
          <w:ilvl w:val="0"/>
          <w:numId w:val="1"/>
        </w:numPr>
        <w:spacing w:after="80" w:line="300" w:lineRule="auto"/>
        <w:rPr>
          <w:color w:val="auto"/>
        </w:rPr>
      </w:pPr>
      <w:r>
        <w:rPr>
          <w:color w:val="auto"/>
          <w:sz w:val="23"/>
          <w:szCs w:val="23"/>
        </w:rPr>
        <w:t>Quantified requirements (e.g. NFR-01: “&lt; 2 seconds,” NFR-02: “100,000+ devices”) avoid vague terms such as “fast” or “many.”</w:t>
      </w:r>
    </w:p>
    <w:p>
      <w:pPr>
        <w:pStyle w:val="16"/>
        <w:numPr>
          <w:ilvl w:val="0"/>
          <w:numId w:val="1"/>
        </w:numPr>
        <w:spacing w:after="80" w:line="300" w:lineRule="auto"/>
        <w:rPr>
          <w:color w:val="auto"/>
        </w:rPr>
      </w:pPr>
      <w:r>
        <w:rPr>
          <w:color w:val="auto"/>
          <w:sz w:val="23"/>
          <w:szCs w:val="23"/>
        </w:rPr>
        <w:t>No two requirements in the set directly contradict one another (e.g. real-time alerting (FR-03) and offline GPS constraint (Section XIII) are treated as a constraint, not a conflicting requirement).</w:t>
      </w:r>
    </w:p>
    <w:p>
      <w:pPr>
        <w:pStyle w:val="3"/>
        <w:spacing w:before="220" w:after="120"/>
        <w:rPr>
          <w:color w:val="auto"/>
        </w:rPr>
      </w:pPr>
      <w:r>
        <w:rPr>
          <w:b/>
          <w:bCs/>
          <w:color w:val="auto"/>
          <w:sz w:val="25"/>
          <w:szCs w:val="25"/>
        </w:rPr>
        <w:t>Redundancy Check</w:t>
      </w:r>
    </w:p>
    <w:p>
      <w:pPr>
        <w:spacing w:after="140" w:line="300" w:lineRule="auto"/>
        <w:jc w:val="both"/>
        <w:rPr>
          <w:color w:val="auto"/>
        </w:rPr>
      </w:pPr>
      <w:r>
        <w:rPr>
          <w:color w:val="auto"/>
          <w:sz w:val="23"/>
          <w:szCs w:val="23"/>
        </w:rPr>
        <w:t>Overlap between “AI Prediction” (FR-05) and “Send Real-Time Sensor Data” (UC-09) is intentional and modelled explicitly as an include relationship rather than a duplicated requirement, avoiding redundant specification.</w:t>
      </w:r>
    </w:p>
    <w:p>
      <w:pPr>
        <w:pStyle w:val="3"/>
        <w:spacing w:before="220" w:after="120"/>
        <w:rPr>
          <w:color w:val="auto"/>
        </w:rPr>
      </w:pPr>
      <w:r>
        <w:rPr>
          <w:b/>
          <w:bCs/>
          <w:color w:val="auto"/>
          <w:sz w:val="25"/>
          <w:szCs w:val="25"/>
        </w:rPr>
        <w:t>Gaps Identified and Suggested Improvements</w:t>
      </w:r>
    </w:p>
    <w:p>
      <w:pPr>
        <w:pStyle w:val="16"/>
        <w:numPr>
          <w:ilvl w:val="0"/>
          <w:numId w:val="1"/>
        </w:numPr>
        <w:spacing w:after="80" w:line="300" w:lineRule="auto"/>
        <w:rPr>
          <w:color w:val="auto"/>
        </w:rPr>
      </w:pPr>
      <w:r>
        <w:rPr>
          <w:color w:val="auto"/>
          <w:sz w:val="23"/>
          <w:szCs w:val="23"/>
        </w:rPr>
        <w:t>Add an explicit data-retention/deletion requirement to fully satisfy data-protection regulations (currently only implied in Section IX).</w:t>
      </w:r>
    </w:p>
    <w:p>
      <w:pPr>
        <w:pStyle w:val="16"/>
        <w:numPr>
          <w:ilvl w:val="0"/>
          <w:numId w:val="1"/>
        </w:numPr>
        <w:spacing w:after="80" w:line="300" w:lineRule="auto"/>
        <w:rPr>
          <w:color w:val="auto"/>
        </w:rPr>
      </w:pPr>
      <w:r>
        <w:rPr>
          <w:color w:val="auto"/>
          <w:sz w:val="23"/>
          <w:szCs w:val="23"/>
        </w:rPr>
        <w:t>Add a non-functional requirement for offline buffering on IoT devices to handle temporary connectivity loss without losing readings.</w:t>
      </w:r>
    </w:p>
    <w:p>
      <w:pPr>
        <w:pStyle w:val="16"/>
        <w:numPr>
          <w:ilvl w:val="0"/>
          <w:numId w:val="1"/>
        </w:numPr>
        <w:spacing w:after="80" w:line="300" w:lineRule="auto"/>
        <w:rPr>
          <w:color w:val="auto"/>
        </w:rPr>
      </w:pPr>
      <w:r>
        <w:rPr>
          <w:color w:val="auto"/>
          <w:sz w:val="23"/>
          <w:szCs w:val="23"/>
        </w:rPr>
        <w:t>Add an explicit use case for “Calibrate/Test Sensor” under the Administrator, referenced in Assumptions but not yet modelled as a use case.</w:t>
      </w:r>
    </w:p>
    <w:p>
      <w:pPr>
        <w:pStyle w:val="16"/>
        <w:numPr>
          <w:ilvl w:val="0"/>
          <w:numId w:val="1"/>
        </w:numPr>
        <w:spacing w:after="80" w:line="300" w:lineRule="auto"/>
        <w:rPr>
          <w:color w:val="auto"/>
        </w:rPr>
      </w:pPr>
      <w:r>
        <w:rPr>
          <w:color w:val="auto"/>
          <w:sz w:val="23"/>
          <w:szCs w:val="23"/>
        </w:rPr>
        <w:t>Define a formal SLA metric for alert-delivery latency (currently only dashboard latency, NFR-01, is quantified).</w:t>
      </w:r>
    </w:p>
    <w:p>
      <w:pPr>
        <w:pStyle w:val="2"/>
        <w:spacing w:before="320" w:after="160"/>
        <w:rPr>
          <w:color w:val="auto"/>
        </w:rPr>
      </w:pPr>
      <w:r>
        <w:rPr>
          <w:b/>
          <w:bCs/>
          <w:color w:val="auto"/>
          <w:sz w:val="30"/>
          <w:szCs w:val="30"/>
        </w:rPr>
        <w:t>XV. Conclusion</w:t>
      </w:r>
    </w:p>
    <w:p>
      <w:pPr>
        <w:spacing w:after="140" w:line="300" w:lineRule="auto"/>
        <w:jc w:val="both"/>
        <w:rPr>
          <w:color w:val="auto"/>
        </w:rPr>
      </w:pPr>
      <w:r>
        <w:rPr>
          <w:color w:val="auto"/>
          <w:sz w:val="23"/>
          <w:szCs w:val="23"/>
        </w:rPr>
        <w:t>This scenario-based requirement analysis translates the Cold-Chain Logistics Integrity Platform problem statement into a structured Software Requirement Specification. By identifying actors and their use cases, deriving functional and non-functional requirements, specifying data and interface needs, and validating the requirement set for completeness and consistency, the analysis provides a solid foundation for architecture design and Agile sprint planning. The identified gaps are minor and can be closed in the next requirement-refinement iteration without affecting the overall scope.</w:t>
      </w:r>
    </w:p>
    <w:p>
      <w:pPr>
        <w:pStyle w:val="2"/>
        <w:spacing w:before="320" w:after="160"/>
        <w:rPr>
          <w:color w:val="auto"/>
        </w:rPr>
      </w:pPr>
      <w:r>
        <w:rPr>
          <w:b/>
          <w:bCs/>
          <w:color w:val="auto"/>
          <w:sz w:val="30"/>
          <w:szCs w:val="30"/>
        </w:rPr>
        <w:t>XVI. References</w:t>
      </w:r>
    </w:p>
    <w:p>
      <w:pPr>
        <w:pStyle w:val="16"/>
        <w:numPr>
          <w:ilvl w:val="0"/>
          <w:numId w:val="1"/>
        </w:numPr>
        <w:spacing w:after="80" w:line="300" w:lineRule="auto"/>
        <w:rPr>
          <w:color w:val="auto"/>
        </w:rPr>
      </w:pPr>
      <w:r>
        <w:rPr>
          <w:color w:val="auto"/>
          <w:sz w:val="23"/>
          <w:szCs w:val="23"/>
        </w:rPr>
        <w:t>IEEE Xplore Digital Library, IoT in Cold Chain Logistics. Available: https://ieeexplore.ieee.org/</w:t>
      </w:r>
    </w:p>
    <w:p>
      <w:pPr>
        <w:pStyle w:val="16"/>
        <w:numPr>
          <w:ilvl w:val="0"/>
          <w:numId w:val="1"/>
        </w:numPr>
        <w:spacing w:after="80" w:line="300" w:lineRule="auto"/>
        <w:rPr>
          <w:color w:val="auto"/>
        </w:rPr>
      </w:pPr>
      <w:r>
        <w:rPr>
          <w:color w:val="auto"/>
          <w:sz w:val="23"/>
          <w:szCs w:val="23"/>
        </w:rPr>
        <w:t>World Health Organization (WHO), Guidelines on the International Packaging and Shipping of Vaccines and Pharmaceutical Products. Available: https://www.who.int/</w:t>
      </w:r>
    </w:p>
    <w:p>
      <w:pPr>
        <w:pStyle w:val="16"/>
        <w:numPr>
          <w:ilvl w:val="0"/>
          <w:numId w:val="1"/>
        </w:numPr>
        <w:spacing w:after="80" w:line="300" w:lineRule="auto"/>
        <w:rPr>
          <w:color w:val="auto"/>
        </w:rPr>
      </w:pPr>
      <w:r>
        <w:rPr>
          <w:color w:val="auto"/>
          <w:sz w:val="23"/>
          <w:szCs w:val="23"/>
        </w:rPr>
        <w:t>U.S. Food and Drug Administration (FDA), Food Safety Modernization Act (FSMA). Available: https://www.fda.gov/</w:t>
      </w:r>
    </w:p>
    <w:p>
      <w:pPr>
        <w:pStyle w:val="16"/>
        <w:numPr>
          <w:ilvl w:val="0"/>
          <w:numId w:val="1"/>
        </w:numPr>
        <w:spacing w:after="80" w:line="300" w:lineRule="auto"/>
        <w:rPr>
          <w:color w:val="auto"/>
        </w:rPr>
      </w:pPr>
      <w:r>
        <w:rPr>
          <w:color w:val="auto"/>
          <w:sz w:val="23"/>
          <w:szCs w:val="23"/>
        </w:rPr>
        <w:t>Food Safety and Standards Authority of India (FSSAI), Cold Storage and Food Safety Guidelines. Available: https://www.fssai.gov.in/</w:t>
      </w:r>
    </w:p>
    <w:p>
      <w:pPr>
        <w:pStyle w:val="16"/>
        <w:numPr>
          <w:ilvl w:val="0"/>
          <w:numId w:val="1"/>
        </w:numPr>
        <w:spacing w:after="80" w:line="300" w:lineRule="auto"/>
        <w:rPr>
          <w:color w:val="auto"/>
        </w:rPr>
      </w:pPr>
      <w:r>
        <w:rPr>
          <w:color w:val="auto"/>
          <w:sz w:val="23"/>
          <w:szCs w:val="23"/>
        </w:rPr>
        <w:t>OASIS Standard, MQTT Version 5.0 Protocol Specification. Available: https://mqtt.org/</w:t>
      </w:r>
    </w:p>
    <w:p>
      <w:pPr>
        <w:pStyle w:val="16"/>
        <w:numPr>
          <w:ilvl w:val="0"/>
          <w:numId w:val="1"/>
        </w:numPr>
        <w:spacing w:after="80" w:line="300" w:lineRule="auto"/>
        <w:rPr>
          <w:color w:val="auto"/>
        </w:rPr>
      </w:pPr>
      <w:r>
        <w:rPr>
          <w:color w:val="auto"/>
          <w:sz w:val="23"/>
          <w:szCs w:val="23"/>
        </w:rPr>
        <w:t>International Organization for Standardization (ISO), ISO 22000: Food Safety Management Systems. Available: https://www.iso.org/</w:t>
      </w:r>
    </w:p>
    <w:p>
      <w:pPr>
        <w:pStyle w:val="16"/>
        <w:numPr>
          <w:ilvl w:val="0"/>
          <w:numId w:val="1"/>
        </w:numPr>
        <w:spacing w:after="80" w:line="300" w:lineRule="auto"/>
        <w:rPr>
          <w:color w:val="auto"/>
        </w:rPr>
      </w:pPr>
      <w:r>
        <w:rPr>
          <w:color w:val="auto"/>
          <w:sz w:val="23"/>
          <w:szCs w:val="23"/>
        </w:rPr>
        <w:t>IEEE Std 830-1998, Recommended Practice for Software Requirements Specifications.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E22D5"/>
    <w:multiLevelType w:val="singleLevel"/>
    <w:tmpl w:val="FFBE22D5"/>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E9AAC0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kaito</cp:lastModifiedBy>
  <dcterms:modified xsi:type="dcterms:W3CDTF">2026-08-05T09:59:02Z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