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3460" w:val="clear"/>
        <w:spacing w:before="0" w:after="0"/>
        <w:jc w:val="center"/>
      </w:pPr>
      <w:r>
        <w:rPr>
          <w:rFonts w:ascii="Arial" w:cs="Arial" w:eastAsia="Arial" w:hAnsi="Arial"/>
          <w:sz w:val="24"/>
          <w:szCs w:val="24"/>
        </w:rPr>
        <w:t xml:space="preserve"> </w:t>
      </w:r>
    </w:p>
    <w:p>
      <w:pPr>
        <w:shd w:fill="0F3460" w:val="clear"/>
        <w:spacing w:before="0" w:after="0"/>
        <w:jc w:val="center"/>
      </w:pPr>
      <w:r>
        <w:rPr>
          <w:rFonts w:ascii="Arial" w:cs="Arial" w:eastAsia="Arial" w:hAnsi="Arial"/>
          <w:b/>
          <w:bCs/>
          <w:color w:val="FFFFFF"/>
          <w:sz w:val="72"/>
          <w:szCs w:val="72"/>
        </w:rPr>
        <w:t xml:space="preserve">EIRION</w:t>
      </w:r>
    </w:p>
    <w:p>
      <w:pPr>
        <w:shd w:fill="0F3460" w:val="clear"/>
        <w:spacing w:before="0" w:after="0"/>
        <w:jc w:val="center"/>
      </w:pPr>
      <w:r>
        <w:rPr>
          <w:rFonts w:ascii="Arial" w:cs="Arial" w:eastAsia="Arial" w:hAnsi="Arial"/>
          <w:i/>
          <w:iCs/>
          <w:color w:val="A8C8FF"/>
          <w:sz w:val="28"/>
          <w:szCs w:val="28"/>
        </w:rPr>
        <w:t xml:space="preserve">AI-Powered Precision Longevity Platform</w:t>
      </w:r>
    </w:p>
    <w:p>
      <w:pPr>
        <w:shd w:fill="0F3460" w:val="clear"/>
        <w:spacing w:before="0" w:after="0"/>
        <w:jc w:val="center"/>
      </w:pPr>
      <w:r>
        <w:rPr>
          <w:rFonts w:ascii="Arial" w:cs="Arial" w:eastAsia="Arial" w:hAnsi="Arial"/>
          <w:sz w:val="24"/>
          <w:szCs w:val="24"/>
        </w:rPr>
        <w:t xml:space="preserve"> </w:t>
      </w:r>
    </w:p>
    <w:p>
      <w:pPr>
        <w:shd w:fill="E94560" w:val="clear"/>
        <w:spacing w:before="0" w:after="20"/>
        <w:jc w:val="center"/>
      </w:pPr>
      <w:r>
        <w:rPr>
          <w:rFonts w:ascii="Arial" w:cs="Arial" w:eastAsia="Arial" w:hAnsi="Arial"/>
          <w:b/>
          <w:bCs/>
          <w:color w:val="FFFFFF"/>
          <w:sz w:val="20"/>
          <w:szCs w:val="20"/>
        </w:rPr>
        <w:t xml:space="preserve"> DNA + Lifestyle + Medications  -&gt;  Personalized Organ Health Forecasts </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3460" w:sz="1"/>
              <w:left w:val="single" w:color="0F3460" w:sz="1"/>
              <w:bottom w:val="single" w:color="0F3460" w:sz="1"/>
              <w:right w:val="single" w:color="0F3460" w:sz="1"/>
            </w:tcBorders>
            <w:shd w:fill="0F3460" w:val="clear"/>
            <w:tcMar>
              <w:top w:type="dxa" w:w="80"/>
              <w:left w:type="dxa" w:w="160"/>
              <w:bottom w:type="dxa" w:w="80"/>
              <w:right w:type="dxa" w:w="160"/>
            </w:tcMar>
            <w:vAlign w:val="center"/>
          </w:tcPr>
          <w:p>
            <w:pPr>
              <w:jc w:val="center"/>
            </w:pPr>
            <w:r>
              <w:rPr>
                <w:rFonts w:ascii="Arial" w:cs="Arial" w:eastAsia="Arial" w:hAnsi="Arial"/>
                <w:color w:val="A8C8FF"/>
                <w:sz w:val="16"/>
                <w:szCs w:val="16"/>
              </w:rPr>
              <w:t xml:space="preserve">Version</w:t>
            </w:r>
          </w:p>
          <w:p>
            <w:pPr>
              <w:jc w:val="center"/>
            </w:pPr>
            <w:r>
              <w:rPr>
                <w:rFonts w:ascii="Arial" w:cs="Arial" w:eastAsia="Arial" w:hAnsi="Arial"/>
                <w:b/>
                <w:bCs/>
                <w:color w:val="FFFFFF"/>
                <w:sz w:val="18"/>
                <w:szCs w:val="18"/>
              </w:rPr>
              <w:t xml:space="preserve">v0.1 Alpha</w:t>
            </w:r>
          </w:p>
        </w:tc>
        <w:tc>
          <w:tcPr>
            <w:tcW w:type="dxa" w:w="2340"/>
            <w:tcBorders>
              <w:top w:val="single" w:color="0F3460" w:sz="1"/>
              <w:left w:val="single" w:color="0F3460" w:sz="1"/>
              <w:bottom w:val="single" w:color="0F3460" w:sz="1"/>
              <w:right w:val="single" w:color="0F3460" w:sz="1"/>
            </w:tcBorders>
            <w:shd w:fill="0F3460" w:val="clear"/>
            <w:tcMar>
              <w:top w:type="dxa" w:w="80"/>
              <w:left w:type="dxa" w:w="160"/>
              <w:bottom w:type="dxa" w:w="80"/>
              <w:right w:type="dxa" w:w="160"/>
            </w:tcMar>
            <w:vAlign w:val="center"/>
          </w:tcPr>
          <w:p>
            <w:pPr>
              <w:jc w:val="center"/>
            </w:pPr>
            <w:r>
              <w:rPr>
                <w:rFonts w:ascii="Arial" w:cs="Arial" w:eastAsia="Arial" w:hAnsi="Arial"/>
                <w:color w:val="A8C8FF"/>
                <w:sz w:val="16"/>
                <w:szCs w:val="16"/>
              </w:rPr>
              <w:t xml:space="preserve">Status</w:t>
            </w:r>
          </w:p>
          <w:p>
            <w:pPr>
              <w:jc w:val="center"/>
            </w:pPr>
            <w:r>
              <w:rPr>
                <w:rFonts w:ascii="Arial" w:cs="Arial" w:eastAsia="Arial" w:hAnsi="Arial"/>
                <w:b/>
                <w:bCs/>
                <w:color w:val="FFFFFF"/>
                <w:sz w:val="18"/>
                <w:szCs w:val="18"/>
              </w:rPr>
              <w:t xml:space="preserve">Active Development</w:t>
            </w:r>
          </w:p>
        </w:tc>
        <w:tc>
          <w:tcPr>
            <w:tcW w:type="dxa" w:w="2340"/>
            <w:tcBorders>
              <w:top w:val="single" w:color="0F3460" w:sz="1"/>
              <w:left w:val="single" w:color="0F3460" w:sz="1"/>
              <w:bottom w:val="single" w:color="0F3460" w:sz="1"/>
              <w:right w:val="single" w:color="0F3460" w:sz="1"/>
            </w:tcBorders>
            <w:shd w:fill="0F3460" w:val="clear"/>
            <w:tcMar>
              <w:top w:type="dxa" w:w="80"/>
              <w:left w:type="dxa" w:w="160"/>
              <w:bottom w:type="dxa" w:w="80"/>
              <w:right w:type="dxa" w:w="160"/>
            </w:tcMar>
            <w:vAlign w:val="center"/>
          </w:tcPr>
          <w:p>
            <w:pPr>
              <w:jc w:val="center"/>
            </w:pPr>
            <w:r>
              <w:rPr>
                <w:rFonts w:ascii="Arial" w:cs="Arial" w:eastAsia="Arial" w:hAnsi="Arial"/>
                <w:color w:val="A8C8FF"/>
                <w:sz w:val="16"/>
                <w:szCs w:val="16"/>
              </w:rPr>
              <w:t xml:space="preserve">License</w:t>
            </w:r>
          </w:p>
          <w:p>
            <w:pPr>
              <w:jc w:val="center"/>
            </w:pPr>
            <w:r>
              <w:rPr>
                <w:rFonts w:ascii="Arial" w:cs="Arial" w:eastAsia="Arial" w:hAnsi="Arial"/>
                <w:b/>
                <w:bCs/>
                <w:color w:val="FFFFFF"/>
                <w:sz w:val="18"/>
                <w:szCs w:val="18"/>
              </w:rPr>
              <w:t xml:space="preserve">Proprietary</w:t>
            </w:r>
          </w:p>
        </w:tc>
        <w:tc>
          <w:tcPr>
            <w:tcW w:type="dxa" w:w="2340"/>
            <w:tcBorders>
              <w:top w:val="single" w:color="0F3460" w:sz="1"/>
              <w:left w:val="single" w:color="0F3460" w:sz="1"/>
              <w:bottom w:val="single" w:color="0F3460" w:sz="1"/>
              <w:right w:val="single" w:color="0F3460" w:sz="1"/>
            </w:tcBorders>
            <w:shd w:fill="0F3460" w:val="clear"/>
            <w:tcMar>
              <w:top w:type="dxa" w:w="80"/>
              <w:left w:type="dxa" w:w="160"/>
              <w:bottom w:type="dxa" w:w="80"/>
              <w:right w:type="dxa" w:w="160"/>
            </w:tcMar>
            <w:vAlign w:val="center"/>
          </w:tcPr>
          <w:p>
            <w:pPr>
              <w:jc w:val="center"/>
            </w:pPr>
            <w:r>
              <w:rPr>
                <w:rFonts w:ascii="Arial" w:cs="Arial" w:eastAsia="Arial" w:hAnsi="Arial"/>
                <w:color w:val="A8C8FF"/>
                <w:sz w:val="16"/>
                <w:szCs w:val="16"/>
              </w:rPr>
              <w:t xml:space="preserve">Category</w:t>
            </w:r>
          </w:p>
          <w:p>
            <w:pPr>
              <w:jc w:val="center"/>
            </w:pPr>
            <w:r>
              <w:rPr>
                <w:rFonts w:ascii="Arial" w:cs="Arial" w:eastAsia="Arial" w:hAnsi="Arial"/>
                <w:b/>
                <w:bCs/>
                <w:color w:val="FFFFFF"/>
                <w:sz w:val="18"/>
                <w:szCs w:val="18"/>
              </w:rPr>
              <w:t xml:space="preserve">Health-Tech / AI</w:t>
            </w:r>
          </w:p>
        </w:tc>
      </w:tr>
    </w:tbl>
    <w:p>
      <w:pPr>
        <w:spacing w:before="300" w:after="0"/>
      </w:pPr>
    </w:p>
    <w:p>
      <w:pPr>
        <w:pStyle w:val="Heading1"/>
        <w:pBdr>
          <w:bottom w:val="single" w:color="E94560" w:sz="8" w:space="4"/>
        </w:pBdr>
        <w:spacing w:before="400" w:after="160"/>
      </w:pPr>
      <w:r>
        <w:rPr>
          <w:rFonts w:ascii="Arial" w:cs="Arial" w:eastAsia="Arial" w:hAnsi="Arial"/>
          <w:b/>
          <w:bCs/>
          <w:color w:val="0F3460"/>
          <w:sz w:val="34"/>
          <w:szCs w:val="34"/>
        </w:rPr>
        <w:t xml:space="preserve">Table of Contents</w:t>
      </w:r>
    </w:p>
    <w:p>
      <w:pPr>
        <w:pStyle w:val="ListParagraph"/>
        <w:numPr>
          <w:ilvl w:val="0"/>
          <w:numId w:val="2"/>
        </w:numPr>
        <w:spacing w:before="40" w:after="60"/>
      </w:pPr>
      <w:r>
        <w:rPr>
          <w:rFonts w:ascii="Arial" w:cs="Arial" w:eastAsia="Arial" w:hAnsi="Arial"/>
          <w:color w:val="1A1A2E"/>
          <w:sz w:val="22"/>
          <w:szCs w:val="22"/>
        </w:rPr>
        <w:t xml:space="preserve">1. Executive Summary</w:t>
      </w:r>
    </w:p>
    <w:p>
      <w:pPr>
        <w:pStyle w:val="ListParagraph"/>
        <w:numPr>
          <w:ilvl w:val="0"/>
          <w:numId w:val="2"/>
        </w:numPr>
        <w:spacing w:before="40" w:after="60"/>
      </w:pPr>
      <w:r>
        <w:rPr>
          <w:rFonts w:ascii="Arial" w:cs="Arial" w:eastAsia="Arial" w:hAnsi="Arial"/>
          <w:color w:val="1A1A2E"/>
          <w:sz w:val="22"/>
          <w:szCs w:val="22"/>
        </w:rPr>
        <w:t xml:space="preserve">2. Problem Statement &amp; Opportunity</w:t>
      </w:r>
    </w:p>
    <w:p>
      <w:pPr>
        <w:pStyle w:val="ListParagraph"/>
        <w:numPr>
          <w:ilvl w:val="0"/>
          <w:numId w:val="2"/>
        </w:numPr>
        <w:spacing w:before="40" w:after="60"/>
      </w:pPr>
      <w:r>
        <w:rPr>
          <w:rFonts w:ascii="Arial" w:cs="Arial" w:eastAsia="Arial" w:hAnsi="Arial"/>
          <w:color w:val="1A1A2E"/>
          <w:sz w:val="22"/>
          <w:szCs w:val="22"/>
        </w:rPr>
        <w:t xml:space="preserve">3. Product Vision &amp; Goals</w:t>
      </w:r>
    </w:p>
    <w:p>
      <w:pPr>
        <w:pStyle w:val="ListParagraph"/>
        <w:numPr>
          <w:ilvl w:val="0"/>
          <w:numId w:val="2"/>
        </w:numPr>
        <w:spacing w:before="40" w:after="60"/>
      </w:pPr>
      <w:r>
        <w:rPr>
          <w:rFonts w:ascii="Arial" w:cs="Arial" w:eastAsia="Arial" w:hAnsi="Arial"/>
          <w:color w:val="1A1A2E"/>
          <w:sz w:val="22"/>
          <w:szCs w:val="22"/>
        </w:rPr>
        <w:t xml:space="preserve">4. Target Users &amp; Use Cases</w:t>
      </w:r>
    </w:p>
    <w:p>
      <w:pPr>
        <w:pStyle w:val="ListParagraph"/>
        <w:numPr>
          <w:ilvl w:val="0"/>
          <w:numId w:val="2"/>
        </w:numPr>
        <w:spacing w:before="40" w:after="60"/>
      </w:pPr>
      <w:r>
        <w:rPr>
          <w:rFonts w:ascii="Arial" w:cs="Arial" w:eastAsia="Arial" w:hAnsi="Arial"/>
          <w:color w:val="1A1A2E"/>
          <w:sz w:val="22"/>
          <w:szCs w:val="22"/>
        </w:rPr>
        <w:t xml:space="preserve">5. Core Features (MVP)</w:t>
      </w:r>
    </w:p>
    <w:p>
      <w:pPr>
        <w:pStyle w:val="ListParagraph"/>
        <w:numPr>
          <w:ilvl w:val="0"/>
          <w:numId w:val="2"/>
        </w:numPr>
        <w:spacing w:before="40" w:after="60"/>
      </w:pPr>
      <w:r>
        <w:rPr>
          <w:rFonts w:ascii="Arial" w:cs="Arial" w:eastAsia="Arial" w:hAnsi="Arial"/>
          <w:color w:val="1A1A2E"/>
          <w:sz w:val="22"/>
          <w:szCs w:val="22"/>
        </w:rPr>
        <w:t xml:space="preserve">6. System Architecture Overview</w:t>
      </w:r>
    </w:p>
    <w:p>
      <w:pPr>
        <w:pStyle w:val="ListParagraph"/>
        <w:numPr>
          <w:ilvl w:val="0"/>
          <w:numId w:val="2"/>
        </w:numPr>
        <w:spacing w:before="40" w:after="60"/>
      </w:pPr>
      <w:r>
        <w:rPr>
          <w:rFonts w:ascii="Arial" w:cs="Arial" w:eastAsia="Arial" w:hAnsi="Arial"/>
          <w:color w:val="1A1A2E"/>
          <w:sz w:val="22"/>
          <w:szCs w:val="22"/>
        </w:rPr>
        <w:t xml:space="preserve">7. Detailed Architecture: All Layers</w:t>
      </w:r>
    </w:p>
    <w:p>
      <w:pPr>
        <w:pStyle w:val="ListParagraph"/>
        <w:numPr>
          <w:ilvl w:val="0"/>
          <w:numId w:val="2"/>
        </w:numPr>
        <w:spacing w:before="40" w:after="60"/>
      </w:pPr>
      <w:r>
        <w:rPr>
          <w:rFonts w:ascii="Arial" w:cs="Arial" w:eastAsia="Arial" w:hAnsi="Arial"/>
          <w:color w:val="1A1A2E"/>
          <w:sz w:val="22"/>
          <w:szCs w:val="22"/>
        </w:rPr>
        <w:t xml:space="preserve">8. AI &amp; ML Deep Dive</w:t>
      </w:r>
    </w:p>
    <w:p>
      <w:pPr>
        <w:pStyle w:val="ListParagraph"/>
        <w:numPr>
          <w:ilvl w:val="0"/>
          <w:numId w:val="2"/>
        </w:numPr>
        <w:spacing w:before="40" w:after="60"/>
      </w:pPr>
      <w:r>
        <w:rPr>
          <w:rFonts w:ascii="Arial" w:cs="Arial" w:eastAsia="Arial" w:hAnsi="Arial"/>
          <w:color w:val="1A1A2E"/>
          <w:sz w:val="22"/>
          <w:szCs w:val="22"/>
        </w:rPr>
        <w:t xml:space="preserve">9. Data Sources &amp; Datasets</w:t>
      </w:r>
    </w:p>
    <w:p>
      <w:pPr>
        <w:pStyle w:val="ListParagraph"/>
        <w:numPr>
          <w:ilvl w:val="0"/>
          <w:numId w:val="2"/>
        </w:numPr>
        <w:spacing w:before="40" w:after="60"/>
      </w:pPr>
      <w:r>
        <w:rPr>
          <w:rFonts w:ascii="Arial" w:cs="Arial" w:eastAsia="Arial" w:hAnsi="Arial"/>
          <w:color w:val="1A1A2E"/>
          <w:sz w:val="22"/>
          <w:szCs w:val="22"/>
        </w:rPr>
        <w:t xml:space="preserve">10. Technology Stack</w:t>
      </w:r>
    </w:p>
    <w:p>
      <w:pPr>
        <w:pStyle w:val="ListParagraph"/>
        <w:numPr>
          <w:ilvl w:val="0"/>
          <w:numId w:val="2"/>
        </w:numPr>
        <w:spacing w:before="40" w:after="60"/>
      </w:pPr>
      <w:r>
        <w:rPr>
          <w:rFonts w:ascii="Arial" w:cs="Arial" w:eastAsia="Arial" w:hAnsi="Arial"/>
          <w:color w:val="1A1A2E"/>
          <w:sz w:val="22"/>
          <w:szCs w:val="22"/>
        </w:rPr>
        <w:t xml:space="preserve">11. API Design Principles</w:t>
      </w:r>
    </w:p>
    <w:p>
      <w:pPr>
        <w:pStyle w:val="ListParagraph"/>
        <w:numPr>
          <w:ilvl w:val="0"/>
          <w:numId w:val="2"/>
        </w:numPr>
        <w:spacing w:before="40" w:after="60"/>
      </w:pPr>
      <w:r>
        <w:rPr>
          <w:rFonts w:ascii="Arial" w:cs="Arial" w:eastAsia="Arial" w:hAnsi="Arial"/>
          <w:color w:val="1A1A2E"/>
          <w:sz w:val="22"/>
          <w:szCs w:val="22"/>
        </w:rPr>
        <w:t xml:space="preserve">12. Security, Privacy &amp; Compliance</w:t>
      </w:r>
    </w:p>
    <w:p>
      <w:pPr>
        <w:pStyle w:val="ListParagraph"/>
        <w:numPr>
          <w:ilvl w:val="0"/>
          <w:numId w:val="2"/>
        </w:numPr>
        <w:spacing w:before="40" w:after="60"/>
      </w:pPr>
      <w:r>
        <w:rPr>
          <w:rFonts w:ascii="Arial" w:cs="Arial" w:eastAsia="Arial" w:hAnsi="Arial"/>
          <w:color w:val="1A1A2E"/>
          <w:sz w:val="22"/>
          <w:szCs w:val="22"/>
        </w:rPr>
        <w:t xml:space="preserve">13. Implementation Roadmap</w:t>
      </w:r>
    </w:p>
    <w:p>
      <w:pPr>
        <w:pStyle w:val="ListParagraph"/>
        <w:numPr>
          <w:ilvl w:val="0"/>
          <w:numId w:val="2"/>
        </w:numPr>
        <w:spacing w:before="40" w:after="60"/>
      </w:pPr>
      <w:r>
        <w:rPr>
          <w:rFonts w:ascii="Arial" w:cs="Arial" w:eastAsia="Arial" w:hAnsi="Arial"/>
          <w:color w:val="1A1A2E"/>
          <w:sz w:val="22"/>
          <w:szCs w:val="22"/>
        </w:rPr>
        <w:t xml:space="preserve">14. Non-Functional Requirements</w:t>
      </w:r>
    </w:p>
    <w:p>
      <w:pPr>
        <w:pStyle w:val="ListParagraph"/>
        <w:numPr>
          <w:ilvl w:val="0"/>
          <w:numId w:val="2"/>
        </w:numPr>
        <w:spacing w:before="40" w:after="60"/>
      </w:pPr>
      <w:r>
        <w:rPr>
          <w:rFonts w:ascii="Arial" w:cs="Arial" w:eastAsia="Arial" w:hAnsi="Arial"/>
          <w:color w:val="1A1A2E"/>
          <w:sz w:val="22"/>
          <w:szCs w:val="22"/>
        </w:rPr>
        <w:t xml:space="preserve">15. Risks &amp; Mitigations</w:t>
      </w:r>
    </w:p>
    <w:p>
      <w:pPr>
        <w:pStyle w:val="ListParagraph"/>
        <w:numPr>
          <w:ilvl w:val="0"/>
          <w:numId w:val="2"/>
        </w:numPr>
        <w:spacing w:before="40" w:after="60"/>
      </w:pPr>
      <w:r>
        <w:rPr>
          <w:rFonts w:ascii="Arial" w:cs="Arial" w:eastAsia="Arial" w:hAnsi="Arial"/>
          <w:color w:val="1A1A2E"/>
          <w:sz w:val="22"/>
          <w:szCs w:val="22"/>
        </w:rPr>
        <w:t xml:space="preserve">16. Glossary</w:t>
      </w:r>
    </w:p>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1. Executive Summary</w:t>
      </w:r>
    </w:p>
    <w:p>
      <w:pPr>
        <w:spacing w:before="60" w:after="100"/>
      </w:pPr>
      <w:r>
        <w:rPr>
          <w:rFonts w:ascii="Arial" w:cs="Arial" w:eastAsia="Arial" w:hAnsi="Arial"/>
          <w:color w:val="1A1A2E"/>
          <w:sz w:val="22"/>
          <w:szCs w:val="22"/>
        </w:rPr>
        <w:t xml:space="preserve">EIRION is a next-generation AI platform that predicts how an individual's DNA, lifestyle habits, and medication or supplement stack will impact organ function and biological age over the next 5 to 10 years — then recommends safer, optimized regimens personalized to that individual.</w:t>
      </w:r>
    </w:p>
    <w:p>
      <w:pPr>
        <w:spacing w:before="80" w:after="0"/>
      </w:pPr>
    </w:p>
    <w:p>
      <w:pPr>
        <w:spacing w:before="60" w:after="100"/>
      </w:pPr>
      <w:r>
        <w:rPr>
          <w:rFonts w:ascii="Arial" w:cs="Arial" w:eastAsia="Arial" w:hAnsi="Arial"/>
          <w:color w:val="1A1A2E"/>
          <w:sz w:val="22"/>
          <w:szCs w:val="22"/>
        </w:rPr>
        <w:t xml:space="preserve">Unlike generic health apps or expensive concierge clinics, EIRION combines multi-modal data (genomics, wearables, labs, lifestyle) with deep AI models to deliver actionable forecasts like:</w:t>
      </w:r>
    </w:p>
    <w:p>
      <w:pPr>
        <w:spacing w:before="60" w:after="0"/>
      </w:pPr>
    </w:p>
    <w:p>
      <w:pPr>
        <w:pBdr>
          <w:left w:val="single" w:color="E94560" w:sz="12"/>
        </w:pBdr>
        <w:shd w:fill="EAF2FF" w:val="clear"/>
        <w:spacing w:before="60" w:after="100"/>
        <w:ind w:left="360"/>
      </w:pPr>
      <w:r>
        <w:rPr>
          <w:rFonts w:ascii="Arial" w:cs="Arial" w:eastAsia="Arial" w:hAnsi="Arial"/>
          <w:i/>
          <w:iCs/>
          <w:color w:val="0F3460"/>
          <w:sz w:val="22"/>
          <w:szCs w:val="22"/>
        </w:rPr>
        <w:t xml:space="preserve">"Your current stack will reduce liver efficiency by 15% by age 40. Make these 3 changes to stay biologically younger."</w:t>
      </w:r>
    </w:p>
    <w:p>
      <w:pPr>
        <w:spacing w:before="100" w:after="0"/>
      </w:pPr>
    </w:p>
    <w:p>
      <w:pPr>
        <w:spacing w:before="60" w:after="100"/>
      </w:pPr>
      <w:r>
        <w:rPr>
          <w:rFonts w:ascii="Arial" w:cs="Arial" w:eastAsia="Arial" w:hAnsi="Arial"/>
          <w:color w:val="1A1A2E"/>
          <w:sz w:val="22"/>
          <w:szCs w:val="22"/>
        </w:rPr>
        <w:t xml:space="preserve">EIRION democratizes precision longevity medicine by making concierge-level insights available at a consumer subscription price, without the ₹₹₹₹₹ clinic fees.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What it is</w:t>
            </w:r>
          </w:p>
        </w:tc>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AI platform for personalized organ health forecasting</w:t>
            </w:r>
          </w:p>
        </w:tc>
      </w:tr>
      <w:tr>
        <w:tc>
          <w:tcPr>
            <w:tcW w:type="dxa" w:w="4680"/>
            <w:tcBorders>
              <w:top w:val="single" w:color="D0D8E8" w:sz="1"/>
              <w:left w:val="single" w:color="D0D8E8" w:sz="1"/>
              <w:bottom w:val="single" w:color="D0D8E8" w:sz="1"/>
              <w:right w:val="single" w:color="D0D8E8" w:sz="1"/>
            </w:tcBorders>
            <w:shd w:fill="F5F5F5" w:val="clear"/>
            <w:tcMar>
              <w:top w:type="dxa" w:w="80"/>
              <w:left w:type="dxa" w:w="160"/>
              <w:bottom w:type="dxa" w:w="80"/>
              <w:right w:type="dxa" w:w="160"/>
            </w:tcMar>
          </w:tcPr>
          <w:p>
            <w:r>
              <w:rPr>
                <w:rFonts w:ascii="Arial" w:cs="Arial" w:eastAsia="Arial" w:hAnsi="Arial"/>
                <w:color w:val="1A1A2E"/>
                <w:sz w:val="20"/>
                <w:szCs w:val="20"/>
              </w:rPr>
              <w:t xml:space="preserve">Core tech</w:t>
            </w:r>
          </w:p>
        </w:tc>
        <w:tc>
          <w:tcPr>
            <w:tcW w:type="dxa" w:w="4680"/>
            <w:tcBorders>
              <w:top w:val="single" w:color="D0D8E8" w:sz="1"/>
              <w:left w:val="single" w:color="D0D8E8" w:sz="1"/>
              <w:bottom w:val="single" w:color="D0D8E8" w:sz="1"/>
              <w:right w:val="single" w:color="D0D8E8" w:sz="1"/>
            </w:tcBorders>
            <w:shd w:fill="F5F5F5" w:val="clear"/>
            <w:tcMar>
              <w:top w:type="dxa" w:w="80"/>
              <w:left w:type="dxa" w:w="160"/>
              <w:bottom w:type="dxa" w:w="80"/>
              <w:right w:type="dxa" w:w="160"/>
            </w:tcMar>
          </w:tcPr>
          <w:p>
            <w:r>
              <w:rPr>
                <w:rFonts w:ascii="Arial" w:cs="Arial" w:eastAsia="Arial" w:hAnsi="Arial"/>
                <w:color w:val="1A1A2E"/>
                <w:sz w:val="20"/>
                <w:szCs w:val="20"/>
              </w:rPr>
              <w:t xml:space="preserve">GNN + DMPNN + Temporal RNN + RL optimization</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Primary users</w:t>
            </w:r>
          </w:p>
        </w:tc>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Biohackers, chronic medication users, longevity enthusiasts</w:t>
            </w:r>
          </w:p>
        </w:tc>
      </w:tr>
      <w:tr>
        <w:tc>
          <w:tcPr>
            <w:tcW w:type="dxa" w:w="4680"/>
            <w:tcBorders>
              <w:top w:val="single" w:color="D0D8E8" w:sz="1"/>
              <w:left w:val="single" w:color="D0D8E8" w:sz="1"/>
              <w:bottom w:val="single" w:color="D0D8E8" w:sz="1"/>
              <w:right w:val="single" w:color="D0D8E8" w:sz="1"/>
            </w:tcBorders>
            <w:shd w:fill="F5F5F5" w:val="clear"/>
            <w:tcMar>
              <w:top w:type="dxa" w:w="80"/>
              <w:left w:type="dxa" w:w="160"/>
              <w:bottom w:type="dxa" w:w="80"/>
              <w:right w:type="dxa" w:w="160"/>
            </w:tcMar>
          </w:tcPr>
          <w:p>
            <w:r>
              <w:rPr>
                <w:rFonts w:ascii="Arial" w:cs="Arial" w:eastAsia="Arial" w:hAnsi="Arial"/>
                <w:color w:val="1A1A2E"/>
                <w:sz w:val="20"/>
                <w:szCs w:val="20"/>
              </w:rPr>
              <w:t xml:space="preserve">Data inputs</w:t>
            </w:r>
          </w:p>
        </w:tc>
        <w:tc>
          <w:tcPr>
            <w:tcW w:type="dxa" w:w="4680"/>
            <w:tcBorders>
              <w:top w:val="single" w:color="D0D8E8" w:sz="1"/>
              <w:left w:val="single" w:color="D0D8E8" w:sz="1"/>
              <w:bottom w:val="single" w:color="D0D8E8" w:sz="1"/>
              <w:right w:val="single" w:color="D0D8E8" w:sz="1"/>
            </w:tcBorders>
            <w:shd w:fill="F5F5F5" w:val="clear"/>
            <w:tcMar>
              <w:top w:type="dxa" w:w="80"/>
              <w:left w:type="dxa" w:w="160"/>
              <w:bottom w:type="dxa" w:w="80"/>
              <w:right w:type="dxa" w:w="160"/>
            </w:tcMar>
          </w:tcPr>
          <w:p>
            <w:r>
              <w:rPr>
                <w:rFonts w:ascii="Arial" w:cs="Arial" w:eastAsia="Arial" w:hAnsi="Arial"/>
                <w:color w:val="1A1A2E"/>
                <w:sz w:val="20"/>
                <w:szCs w:val="20"/>
              </w:rPr>
              <w:t xml:space="preserve">Genetics (23andMe), wearables, labs, lifestyle, supplement/med stack</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Key output</w:t>
            </w:r>
          </w:p>
        </w:tc>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5-10 year organ &amp; biological age trajectory + ranked regimen changes</w:t>
            </w:r>
          </w:p>
        </w:tc>
      </w:tr>
      <w:tr>
        <w:tc>
          <w:tcPr>
            <w:tcW w:type="dxa" w:w="4680"/>
            <w:tcBorders>
              <w:top w:val="single" w:color="D0D8E8" w:sz="1"/>
              <w:left w:val="single" w:color="D0D8E8" w:sz="1"/>
              <w:bottom w:val="single" w:color="D0D8E8" w:sz="1"/>
              <w:right w:val="single" w:color="D0D8E8" w:sz="1"/>
            </w:tcBorders>
            <w:shd w:fill="F5F5F5" w:val="clear"/>
            <w:tcMar>
              <w:top w:type="dxa" w:w="80"/>
              <w:left w:type="dxa" w:w="160"/>
              <w:bottom w:type="dxa" w:w="80"/>
              <w:right w:type="dxa" w:w="160"/>
            </w:tcMar>
          </w:tcPr>
          <w:p>
            <w:r>
              <w:rPr>
                <w:rFonts w:ascii="Arial" w:cs="Arial" w:eastAsia="Arial" w:hAnsi="Arial"/>
                <w:color w:val="1A1A2E"/>
                <w:sz w:val="20"/>
                <w:szCs w:val="20"/>
              </w:rPr>
              <w:t xml:space="preserve">Business model</w:t>
            </w:r>
          </w:p>
        </w:tc>
        <w:tc>
          <w:tcPr>
            <w:tcW w:type="dxa" w:w="4680"/>
            <w:tcBorders>
              <w:top w:val="single" w:color="D0D8E8" w:sz="1"/>
              <w:left w:val="single" w:color="D0D8E8" w:sz="1"/>
              <w:bottom w:val="single" w:color="D0D8E8" w:sz="1"/>
              <w:right w:val="single" w:color="D0D8E8" w:sz="1"/>
            </w:tcBorders>
            <w:shd w:fill="F5F5F5" w:val="clear"/>
            <w:tcMar>
              <w:top w:type="dxa" w:w="80"/>
              <w:left w:type="dxa" w:w="160"/>
              <w:bottom w:type="dxa" w:w="80"/>
              <w:right w:type="dxa" w:w="160"/>
            </w:tcMar>
          </w:tcPr>
          <w:p>
            <w:r>
              <w:rPr>
                <w:rFonts w:ascii="Arial" w:cs="Arial" w:eastAsia="Arial" w:hAnsi="Arial"/>
                <w:color w:val="1A1A2E"/>
                <w:sz w:val="20"/>
                <w:szCs w:val="20"/>
              </w:rPr>
              <w:t xml:space="preserve">B2C SaaS subscription; B2B API for clinics &amp; insurers (Phase 2+)</w:t>
            </w:r>
          </w:p>
        </w:tc>
      </w:tr>
    </w:tbl>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2. Problem Statement &amp; Opportunity</w:t>
      </w:r>
    </w:p>
    <w:p>
      <w:pPr>
        <w:pStyle w:val="Heading2"/>
        <w:spacing w:before="320" w:after="120"/>
      </w:pPr>
      <w:r>
        <w:rPr>
          <w:rFonts w:ascii="Arial" w:cs="Arial" w:eastAsia="Arial" w:hAnsi="Arial"/>
          <w:b/>
          <w:bCs/>
          <w:color w:val="16213E"/>
          <w:sz w:val="26"/>
          <w:szCs w:val="26"/>
        </w:rPr>
        <w:t xml:space="preserve">2.1 The Problem</w:t>
      </w:r>
    </w:p>
    <w:p>
      <w:pPr>
        <w:spacing w:before="60" w:after="100"/>
      </w:pPr>
      <w:r>
        <w:rPr>
          <w:rFonts w:ascii="Arial" w:cs="Arial" w:eastAsia="Arial" w:hAnsi="Arial"/>
          <w:color w:val="1A1A2E"/>
          <w:sz w:val="22"/>
          <w:szCs w:val="22"/>
        </w:rPr>
        <w:t xml:space="preserve">Modern individuals are increasingly self-medicating with complex supplement and medication stacks while generating rich health data from wearables and genetic tests. Yet no platform connects all of this data to answer the question everyone actually wants answered: what will all of this do to my body over the next decade?</w:t>
      </w:r>
    </w:p>
    <w:p>
      <w:pPr>
        <w:spacing w:before="80" w:after="0"/>
      </w:pPr>
    </w:p>
    <w:p>
      <w:pPr>
        <w:pStyle w:val="ListParagraph"/>
        <w:numPr>
          <w:ilvl w:val="0"/>
          <w:numId w:val="2"/>
        </w:numPr>
        <w:spacing w:before="40" w:after="60"/>
      </w:pPr>
      <w:r>
        <w:rPr>
          <w:rFonts w:ascii="Arial" w:cs="Arial" w:eastAsia="Arial" w:hAnsi="Arial"/>
          <w:color w:val="1A1A2E"/>
          <w:sz w:val="22"/>
          <w:szCs w:val="22"/>
        </w:rPr>
        <w:t xml:space="preserve">Generic supplement apps do not account for your genetics or existing medications.</w:t>
      </w:r>
    </w:p>
    <w:p>
      <w:pPr>
        <w:pStyle w:val="ListParagraph"/>
        <w:numPr>
          <w:ilvl w:val="0"/>
          <w:numId w:val="2"/>
        </w:numPr>
        <w:spacing w:before="40" w:after="60"/>
      </w:pPr>
      <w:r>
        <w:rPr>
          <w:rFonts w:ascii="Arial" w:cs="Arial" w:eastAsia="Arial" w:hAnsi="Arial"/>
          <w:color w:val="1A1A2E"/>
          <w:sz w:val="22"/>
          <w:szCs w:val="22"/>
        </w:rPr>
        <w:t xml:space="preserve">Pharmacogenomics insights are buried in research papers or locked behind expensive clinics.</w:t>
      </w:r>
    </w:p>
    <w:p>
      <w:pPr>
        <w:pStyle w:val="ListParagraph"/>
        <w:numPr>
          <w:ilvl w:val="0"/>
          <w:numId w:val="2"/>
        </w:numPr>
        <w:spacing w:before="40" w:after="60"/>
      </w:pPr>
      <w:r>
        <w:rPr>
          <w:rFonts w:ascii="Arial" w:cs="Arial" w:eastAsia="Arial" w:hAnsi="Arial"/>
          <w:color w:val="1A1A2E"/>
          <w:sz w:val="22"/>
          <w:szCs w:val="22"/>
        </w:rPr>
        <w:t xml:space="preserve">Wearable data is siloed from genetic data which is siloed from lab results.</w:t>
      </w:r>
    </w:p>
    <w:p>
      <w:pPr>
        <w:pStyle w:val="ListParagraph"/>
        <w:numPr>
          <w:ilvl w:val="0"/>
          <w:numId w:val="2"/>
        </w:numPr>
        <w:spacing w:before="40" w:after="60"/>
      </w:pPr>
      <w:r>
        <w:rPr>
          <w:rFonts w:ascii="Arial" w:cs="Arial" w:eastAsia="Arial" w:hAnsi="Arial"/>
          <w:color w:val="1A1A2E"/>
          <w:sz w:val="22"/>
          <w:szCs w:val="22"/>
        </w:rPr>
        <w:t xml:space="preserve">Adverse drug-supplement interactions cause tens of thousands of hospitalizations annually — most are preventable with the right data.</w:t>
      </w:r>
    </w:p>
    <w:p>
      <w:pPr>
        <w:pStyle w:val="ListParagraph"/>
        <w:numPr>
          <w:ilvl w:val="0"/>
          <w:numId w:val="2"/>
        </w:numPr>
        <w:spacing w:before="40" w:after="60"/>
      </w:pPr>
      <w:r>
        <w:rPr>
          <w:rFonts w:ascii="Arial" w:cs="Arial" w:eastAsia="Arial" w:hAnsi="Arial"/>
          <w:color w:val="1A1A2E"/>
          <w:sz w:val="22"/>
          <w:szCs w:val="22"/>
        </w:rPr>
        <w:t xml:space="preserve">Biological age acceleration is invisible until damage is done.</w:t>
      </w:r>
    </w:p>
    <w:p>
      <w:pPr>
        <w:spacing w:before="100" w:after="0"/>
      </w:pPr>
    </w:p>
    <w:p>
      <w:pPr>
        <w:pStyle w:val="Heading2"/>
        <w:spacing w:before="320" w:after="120"/>
      </w:pPr>
      <w:r>
        <w:rPr>
          <w:rFonts w:ascii="Arial" w:cs="Arial" w:eastAsia="Arial" w:hAnsi="Arial"/>
          <w:b/>
          <w:bCs/>
          <w:color w:val="16213E"/>
          <w:sz w:val="26"/>
          <w:szCs w:val="26"/>
        </w:rPr>
        <w:t xml:space="preserve">2.2 The Opportunity</w:t>
      </w:r>
    </w:p>
    <w:p>
      <w:pPr>
        <w:spacing w:before="60" w:after="100"/>
      </w:pPr>
      <w:r>
        <w:rPr>
          <w:rFonts w:ascii="Arial" w:cs="Arial" w:eastAsia="Arial" w:hAnsi="Arial"/>
          <w:color w:val="1A1A2E"/>
          <w:sz w:val="22"/>
          <w:szCs w:val="22"/>
        </w:rPr>
        <w:t xml:space="preserve">Three trends converge to make EIRION possible right now:</w:t>
      </w:r>
    </w:p>
    <w:p>
      <w:pPr>
        <w:pStyle w:val="ListParagraph"/>
        <w:numPr>
          <w:ilvl w:val="0"/>
          <w:numId w:val="2"/>
        </w:numPr>
        <w:spacing w:before="40" w:after="60"/>
      </w:pPr>
      <w:r>
        <w:rPr>
          <w:rFonts w:ascii="Arial" w:cs="Arial" w:eastAsia="Arial" w:hAnsi="Arial"/>
          <w:color w:val="1A1A2E"/>
          <w:sz w:val="22"/>
          <w:szCs w:val="22"/>
        </w:rPr>
        <w:t xml:space="preserve">Direct-to-consumer genomics has made genetic data affordable and widely available (23andMe, AncestryDNA, etc.).</w:t>
      </w:r>
    </w:p>
    <w:p>
      <w:pPr>
        <w:pStyle w:val="ListParagraph"/>
        <w:numPr>
          <w:ilvl w:val="0"/>
          <w:numId w:val="2"/>
        </w:numPr>
        <w:spacing w:before="40" w:after="60"/>
      </w:pPr>
      <w:r>
        <w:rPr>
          <w:rFonts w:ascii="Arial" w:cs="Arial" w:eastAsia="Arial" w:hAnsi="Arial"/>
          <w:color w:val="1A1A2E"/>
          <w:sz w:val="22"/>
          <w:szCs w:val="22"/>
        </w:rPr>
        <w:t xml:space="preserve">Wearable proliferation means continuous physiological data is available for hundreds of millions of users.</w:t>
      </w:r>
    </w:p>
    <w:p>
      <w:pPr>
        <w:pStyle w:val="ListParagraph"/>
        <w:numPr>
          <w:ilvl w:val="0"/>
          <w:numId w:val="2"/>
        </w:numPr>
        <w:spacing w:before="40" w:after="60"/>
      </w:pPr>
      <w:r>
        <w:rPr>
          <w:rFonts w:ascii="Arial" w:cs="Arial" w:eastAsia="Arial" w:hAnsi="Arial"/>
          <w:color w:val="1A1A2E"/>
          <w:sz w:val="22"/>
          <w:szCs w:val="22"/>
        </w:rPr>
        <w:t xml:space="preserve">AI breakthroughs in graph neural networks, molecular property prediction, and longitudinal sequence models now allow high-fidelity simulation of biological processes.</w:t>
      </w:r>
    </w:p>
    <w:p>
      <w:pPr>
        <w:spacing w:before="80" w:after="0"/>
      </w:pPr>
    </w:p>
    <w:p>
      <w:pPr>
        <w:spacing w:before="60" w:after="100"/>
      </w:pPr>
      <w:r>
        <w:rPr>
          <w:rFonts w:ascii="Arial" w:cs="Arial" w:eastAsia="Arial" w:hAnsi="Arial"/>
          <w:color w:val="1A1A2E"/>
          <w:sz w:val="22"/>
          <w:szCs w:val="22"/>
        </w:rPr>
        <w:t xml:space="preserve">EIRION's total addressable market includes 1B+ global supplement users, 500M+ chronic medication users, and the rapidly growing longevity/biohacker community estimated to exceed $60B globally by 2030.</w:t>
      </w:r>
    </w:p>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3. Product Vision &amp; Goals</w:t>
      </w:r>
    </w:p>
    <w:p>
      <w:pPr>
        <w:pStyle w:val="Heading2"/>
        <w:spacing w:before="320" w:after="120"/>
      </w:pPr>
      <w:r>
        <w:rPr>
          <w:rFonts w:ascii="Arial" w:cs="Arial" w:eastAsia="Arial" w:hAnsi="Arial"/>
          <w:b/>
          <w:bCs/>
          <w:color w:val="16213E"/>
          <w:sz w:val="26"/>
          <w:szCs w:val="26"/>
        </w:rPr>
        <w:t xml:space="preserve">3.1 Vision</w:t>
      </w:r>
    </w:p>
    <w:p>
      <w:pPr>
        <w:pBdr>
          <w:left w:val="single" w:color="C9A84C" w:sz="12"/>
        </w:pBdr>
        <w:shd w:fill="0F3460" w:val="clear"/>
        <w:spacing w:before="100" w:after="100"/>
        <w:ind w:left="360"/>
      </w:pPr>
      <w:r>
        <w:rPr>
          <w:rFonts w:ascii="Arial" w:cs="Arial" w:eastAsia="Arial" w:hAnsi="Arial"/>
          <w:b/>
          <w:bCs/>
          <w:color w:val="FFFFFF"/>
          <w:sz w:val="24"/>
          <w:szCs w:val="24"/>
        </w:rPr>
        <w:t xml:space="preserve">Give every person on Earth a personal biological early-warning system — making lifespan extension accessible, evidence-based, and actionable.</w:t>
      </w:r>
    </w:p>
    <w:p>
      <w:pPr>
        <w:spacing w:before="120" w:after="0"/>
      </w:pPr>
    </w:p>
    <w:p>
      <w:pPr>
        <w:pStyle w:val="Heading2"/>
        <w:spacing w:before="320" w:after="120"/>
      </w:pPr>
      <w:r>
        <w:rPr>
          <w:rFonts w:ascii="Arial" w:cs="Arial" w:eastAsia="Arial" w:hAnsi="Arial"/>
          <w:b/>
          <w:bCs/>
          <w:color w:val="16213E"/>
          <w:sz w:val="26"/>
          <w:szCs w:val="26"/>
        </w:rPr>
        <w:t xml:space="preserve">3.2 Primary Goals</w:t>
      </w:r>
    </w:p>
    <w:p>
      <w:pPr>
        <w:pStyle w:val="ListParagraph"/>
        <w:numPr>
          <w:ilvl w:val="0"/>
          <w:numId w:val="2"/>
        </w:numPr>
        <w:spacing w:before="40" w:after="60"/>
      </w:pPr>
      <w:r>
        <w:rPr>
          <w:rFonts w:ascii="Arial" w:cs="Arial" w:eastAsia="Arial" w:hAnsi="Arial"/>
          <w:b/>
          <w:bCs/>
          <w:color w:val="0F3460"/>
          <w:sz w:val="22"/>
          <w:szCs w:val="22"/>
        </w:rPr>
        <w:t xml:space="preserve">Predictive Toxicity &amp; Aging: </w:t>
      </w:r>
      <w:r>
        <w:rPr>
          <w:rFonts w:ascii="Arial" w:cs="Arial" w:eastAsia="Arial" w:hAnsi="Arial"/>
          <w:color w:val="1A1A2E"/>
          <w:sz w:val="22"/>
          <w:szCs w:val="22"/>
        </w:rPr>
        <w:t xml:space="preserve">Forecast organ-specific risk (liver, kidney, heart) and biological age trajectories over 5-10 years for a given regimen.</w:t>
      </w:r>
    </w:p>
    <w:p>
      <w:pPr>
        <w:pStyle w:val="ListParagraph"/>
        <w:numPr>
          <w:ilvl w:val="0"/>
          <w:numId w:val="2"/>
        </w:numPr>
        <w:spacing w:before="40" w:after="60"/>
      </w:pPr>
      <w:r>
        <w:rPr>
          <w:rFonts w:ascii="Arial" w:cs="Arial" w:eastAsia="Arial" w:hAnsi="Arial"/>
          <w:b/>
          <w:bCs/>
          <w:color w:val="0F3460"/>
          <w:sz w:val="22"/>
          <w:szCs w:val="22"/>
        </w:rPr>
        <w:t xml:space="preserve">Personalized Optimization: </w:t>
      </w:r>
      <w:r>
        <w:rPr>
          <w:rFonts w:ascii="Arial" w:cs="Arial" w:eastAsia="Arial" w:hAnsi="Arial"/>
          <w:color w:val="1A1A2E"/>
          <w:sz w:val="22"/>
          <w:szCs w:val="22"/>
        </w:rPr>
        <w:t xml:space="preserve">Generate individualized recommendations: which supplements/meds to keep, remove, swap, and at what dose, to maximize healthspan and minimize toxicity.</w:t>
      </w:r>
    </w:p>
    <w:p>
      <w:pPr>
        <w:pStyle w:val="ListParagraph"/>
        <w:numPr>
          <w:ilvl w:val="0"/>
          <w:numId w:val="2"/>
        </w:numPr>
        <w:spacing w:before="40" w:after="60"/>
      </w:pPr>
      <w:r>
        <w:rPr>
          <w:rFonts w:ascii="Arial" w:cs="Arial" w:eastAsia="Arial" w:hAnsi="Arial"/>
          <w:b/>
          <w:bCs/>
          <w:color w:val="0F3460"/>
          <w:sz w:val="22"/>
          <w:szCs w:val="22"/>
        </w:rPr>
        <w:t xml:space="preserve">Democratized Longevity Medicine: </w:t>
      </w:r>
      <w:r>
        <w:rPr>
          <w:rFonts w:ascii="Arial" w:cs="Arial" w:eastAsia="Arial" w:hAnsi="Arial"/>
          <w:color w:val="1A1A2E"/>
          <w:sz w:val="22"/>
          <w:szCs w:val="22"/>
        </w:rPr>
        <w:t xml:space="preserve">Deliver concierge-level precision insights at a B2C subscription price point.</w:t>
      </w:r>
    </w:p>
    <w:p>
      <w:pPr>
        <w:pStyle w:val="ListParagraph"/>
        <w:numPr>
          <w:ilvl w:val="0"/>
          <w:numId w:val="2"/>
        </w:numPr>
        <w:spacing w:before="40" w:after="60"/>
      </w:pPr>
      <w:r>
        <w:rPr>
          <w:rFonts w:ascii="Arial" w:cs="Arial" w:eastAsia="Arial" w:hAnsi="Arial"/>
          <w:b/>
          <w:bCs/>
          <w:color w:val="0F3460"/>
          <w:sz w:val="22"/>
          <w:szCs w:val="22"/>
        </w:rPr>
        <w:t xml:space="preserve">Clinical Trustworthiness: </w:t>
      </w:r>
      <w:r>
        <w:rPr>
          <w:rFonts w:ascii="Arial" w:cs="Arial" w:eastAsia="Arial" w:hAnsi="Arial"/>
          <w:color w:val="1A1A2E"/>
          <w:sz w:val="22"/>
          <w:szCs w:val="22"/>
        </w:rPr>
        <w:t xml:space="preserve">Achieve &gt;85% prediction accuracy on toxicity events; measurable improvements of 30% fewer adverse reactions and 0.5-1 year biological age improvement in pilots.</w:t>
      </w:r>
    </w:p>
    <w:p>
      <w:pPr>
        <w:spacing w:before="100" w:after="0"/>
      </w:pPr>
    </w:p>
    <w:p>
      <w:pPr>
        <w:pStyle w:val="Heading2"/>
        <w:spacing w:before="320" w:after="120"/>
      </w:pPr>
      <w:r>
        <w:rPr>
          <w:rFonts w:ascii="Arial" w:cs="Arial" w:eastAsia="Arial" w:hAnsi="Arial"/>
          <w:b/>
          <w:bCs/>
          <w:color w:val="16213E"/>
          <w:sz w:val="26"/>
          <w:szCs w:val="26"/>
        </w:rPr>
        <w:t xml:space="preserve">3.3 Secondary Goals</w:t>
      </w:r>
    </w:p>
    <w:p>
      <w:pPr>
        <w:pStyle w:val="ListParagraph"/>
        <w:numPr>
          <w:ilvl w:val="0"/>
          <w:numId w:val="2"/>
        </w:numPr>
        <w:spacing w:before="40" w:after="60"/>
      </w:pPr>
      <w:r>
        <w:rPr>
          <w:rFonts w:ascii="Arial" w:cs="Arial" w:eastAsia="Arial" w:hAnsi="Arial"/>
          <w:color w:val="1A1A2E"/>
          <w:sz w:val="22"/>
          <w:szCs w:val="22"/>
        </w:rPr>
        <w:t xml:space="preserve">Build a reusable multi-modal AI stack (genomics + clinical + lifestyle) extensible to athletes, chronic disease, and oncology.</w:t>
      </w:r>
    </w:p>
    <w:p>
      <w:pPr>
        <w:pStyle w:val="ListParagraph"/>
        <w:numPr>
          <w:ilvl w:val="0"/>
          <w:numId w:val="2"/>
        </w:numPr>
        <w:spacing w:before="40" w:after="60"/>
      </w:pPr>
      <w:r>
        <w:rPr>
          <w:rFonts w:ascii="Arial" w:cs="Arial" w:eastAsia="Arial" w:hAnsi="Arial"/>
          <w:color w:val="1A1A2E"/>
          <w:sz w:val="22"/>
          <w:szCs w:val="22"/>
        </w:rPr>
        <w:t xml:space="preserve">Create a de-identified outcomes dataset from user feedback to continuously improve models.</w:t>
      </w:r>
    </w:p>
    <w:p>
      <w:pPr>
        <w:pStyle w:val="ListParagraph"/>
        <w:numPr>
          <w:ilvl w:val="0"/>
          <w:numId w:val="2"/>
        </w:numPr>
        <w:spacing w:before="40" w:after="60"/>
      </w:pPr>
      <w:r>
        <w:rPr>
          <w:rFonts w:ascii="Arial" w:cs="Arial" w:eastAsia="Arial" w:hAnsi="Arial"/>
          <w:color w:val="1A1A2E"/>
          <w:sz w:val="22"/>
          <w:szCs w:val="22"/>
        </w:rPr>
        <w:t xml:space="preserve">Produce SHAP/attention-based explanations that clinicians and advanced users can trust.</w:t>
      </w:r>
    </w:p>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4. Target Users &amp; Use Cases</w:t>
      </w:r>
    </w:p>
    <w:p>
      <w:pPr>
        <w:pStyle w:val="Heading2"/>
        <w:spacing w:before="320" w:after="120"/>
      </w:pPr>
      <w:r>
        <w:rPr>
          <w:rFonts w:ascii="Arial" w:cs="Arial" w:eastAsia="Arial" w:hAnsi="Arial"/>
          <w:b/>
          <w:bCs/>
          <w:color w:val="16213E"/>
          <w:sz w:val="26"/>
          <w:szCs w:val="26"/>
        </w:rPr>
        <w:t xml:space="preserve">4.1 User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Segment</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Who They Are</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Core Pain Point</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EIRION Value</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Primary: Biohackers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25-45, self-experimenting with 5-20 supplements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No way to predict long-term organ impact</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Personalized organ trajectory + stack optimization</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Primary: Chronic Med Users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Adults on Metformin, SSRIs, statins, etc.</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Fear of long-term organ damage</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Drug-gene interaction analysis + forecasting</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Secondary: Longevity (40-65)</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Health-conscious aging adults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Slow biological age decline</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Biological age tracking + reversal plans</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Secondary: Athletes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Performance/recovery optimization</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Legal supplement safety at high doses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Performance-safe regimen modeling</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Future: Clinicians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GPs, integrative medicine MDs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No personalized pharmacogenomics tool</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Evidence-backed clinical decision support</w:t>
            </w:r>
          </w:p>
        </w:tc>
      </w:tr>
    </w:tbl>
    <w:p>
      <w:pPr>
        <w:spacing w:before="120" w:after="0"/>
      </w:pPr>
    </w:p>
    <w:p>
      <w:pPr>
        <w:pStyle w:val="Heading2"/>
        <w:spacing w:before="320" w:after="120"/>
      </w:pPr>
      <w:r>
        <w:rPr>
          <w:rFonts w:ascii="Arial" w:cs="Arial" w:eastAsia="Arial" w:hAnsi="Arial"/>
          <w:b/>
          <w:bCs/>
          <w:color w:val="16213E"/>
          <w:sz w:val="26"/>
          <w:szCs w:val="26"/>
        </w:rPr>
        <w:t xml:space="preserve">4.2 Canonical Use Case</w:t>
      </w:r>
    </w:p>
    <w:p>
      <w:pPr>
        <w:pBdr>
          <w:left w:val="single" w:color="0A8A8A" w:sz="12"/>
        </w:pBdr>
        <w:shd w:fill="EAF2FF" w:val="clear"/>
        <w:spacing w:before="80" w:after="80"/>
        <w:ind w:left="360"/>
      </w:pPr>
      <w:r>
        <w:rPr>
          <w:rFonts w:ascii="Arial" w:cs="Arial" w:eastAsia="Arial" w:hAnsi="Arial"/>
          <w:i/>
          <w:iCs/>
          <w:color w:val="16213E"/>
          <w:sz w:val="22"/>
          <w:szCs w:val="22"/>
        </w:rPr>
        <w:t xml:space="preserve">Priya, 35-year-old software professional, takes: Omega-3, Vitamin D, Ashwagandha, Metformin. Diet: high sugar (140g/day). Labs: normal. Concern: long-term organ health.</w:t>
      </w:r>
    </w:p>
    <w:p>
      <w:pPr>
        <w:spacing w:before="80" w:after="0"/>
      </w:pPr>
    </w:p>
    <w:p>
      <w:pPr>
        <w:spacing w:before="60" w:after="100"/>
      </w:pPr>
      <w:r>
        <w:rPr>
          <w:rFonts w:ascii="Arial" w:cs="Arial" w:eastAsia="Arial" w:hAnsi="Arial"/>
          <w:color w:val="1A1A2E"/>
          <w:sz w:val="22"/>
          <w:szCs w:val="22"/>
        </w:rPr>
        <w:t xml:space="preserve">EIRION detects:</w:t>
      </w:r>
    </w:p>
    <w:p>
      <w:pPr>
        <w:pStyle w:val="ListParagraph"/>
        <w:numPr>
          <w:ilvl w:val="0"/>
          <w:numId w:val="2"/>
        </w:numPr>
        <w:spacing w:before="40" w:after="60"/>
      </w:pPr>
      <w:r>
        <w:rPr>
          <w:rFonts w:ascii="Arial" w:cs="Arial" w:eastAsia="Arial" w:hAnsi="Arial"/>
          <w:color w:val="1A1A2E"/>
          <w:sz w:val="22"/>
          <w:szCs w:val="22"/>
        </w:rPr>
        <w:t xml:space="preserve">CYP2D6 poor metabolizer genotype — drugs/supplements metabolize 40-60% slower than average.</w:t>
      </w:r>
    </w:p>
    <w:p>
      <w:pPr>
        <w:pStyle w:val="ListParagraph"/>
        <w:numPr>
          <w:ilvl w:val="0"/>
          <w:numId w:val="2"/>
        </w:numPr>
        <w:spacing w:before="40" w:after="60"/>
      </w:pPr>
      <w:r>
        <w:rPr>
          <w:rFonts w:ascii="Arial" w:cs="Arial" w:eastAsia="Arial" w:hAnsi="Arial"/>
          <w:color w:val="1A1A2E"/>
          <w:sz w:val="22"/>
          <w:szCs w:val="22"/>
        </w:rPr>
        <w:t xml:space="preserve">Ashwagandha accumulation risk — withanolides build up over 6-12 months, increasing hepatic load.</w:t>
      </w:r>
    </w:p>
    <w:p>
      <w:pPr>
        <w:pStyle w:val="ListParagraph"/>
        <w:numPr>
          <w:ilvl w:val="0"/>
          <w:numId w:val="2"/>
        </w:numPr>
        <w:spacing w:before="40" w:after="60"/>
      </w:pPr>
      <w:r>
        <w:rPr>
          <w:rFonts w:ascii="Arial" w:cs="Arial" w:eastAsia="Arial" w:hAnsi="Arial"/>
          <w:color w:val="1A1A2E"/>
          <w:sz w:val="22"/>
          <w:szCs w:val="22"/>
        </w:rPr>
        <w:t xml:space="preserve">Sugar + Metformin interaction — excess dietary glucose exacerbates mitochondrial stress in liver cells.</w:t>
      </w:r>
    </w:p>
    <w:p>
      <w:pPr>
        <w:spacing w:before="80" w:after="0"/>
      </w:pPr>
    </w:p>
    <w:p>
      <w:pPr>
        <w:spacing w:before="60" w:after="100"/>
      </w:pPr>
      <w:r>
        <w:rPr>
          <w:rFonts w:ascii="Arial" w:cs="Arial" w:eastAsia="Arial" w:hAnsi="Arial"/>
          <w:color w:val="1A1A2E"/>
          <w:sz w:val="22"/>
          <w:szCs w:val="22"/>
        </w:rPr>
        <w:t xml:space="preserve">EIRION predicts:</w:t>
      </w:r>
    </w:p>
    <w:p>
      <w:pPr>
        <w:pStyle w:val="ListParagraph"/>
        <w:numPr>
          <w:ilvl w:val="0"/>
          <w:numId w:val="2"/>
        </w:numPr>
        <w:spacing w:before="40" w:after="60"/>
      </w:pPr>
      <w:r>
        <w:rPr>
          <w:rFonts w:ascii="Arial" w:cs="Arial" w:eastAsia="Arial" w:hAnsi="Arial"/>
          <w:color w:val="1A1A2E"/>
          <w:sz w:val="22"/>
          <w:szCs w:val="22"/>
        </w:rPr>
        <w:t xml:space="preserve">15% liver efficiency drop by age 40.</w:t>
      </w:r>
    </w:p>
    <w:p>
      <w:pPr>
        <w:pStyle w:val="ListParagraph"/>
        <w:numPr>
          <w:ilvl w:val="0"/>
          <w:numId w:val="2"/>
        </w:numPr>
        <w:spacing w:before="40" w:after="60"/>
      </w:pPr>
      <w:r>
        <w:rPr>
          <w:rFonts w:ascii="Arial" w:cs="Arial" w:eastAsia="Arial" w:hAnsi="Arial"/>
          <w:color w:val="1A1A2E"/>
          <w:sz w:val="22"/>
          <w:szCs w:val="22"/>
        </w:rPr>
        <w:t xml:space="preserve">Elevated AST/ALT levels by age 43 without intervention.</w:t>
      </w:r>
    </w:p>
    <w:p>
      <w:pPr>
        <w:spacing w:before="80" w:after="0"/>
      </w:pPr>
    </w:p>
    <w:p>
      <w:pPr>
        <w:spacing w:before="60" w:after="100"/>
      </w:pPr>
      <w:r>
        <w:rPr>
          <w:rFonts w:ascii="Arial" w:cs="Arial" w:eastAsia="Arial" w:hAnsi="Arial"/>
          <w:color w:val="1A1A2E"/>
          <w:sz w:val="22"/>
          <w:szCs w:val="22"/>
        </w:rPr>
        <w:t xml:space="preserve">EIRION recommends:</w:t>
      </w:r>
    </w:p>
    <w:p>
      <w:pPr>
        <w:pStyle w:val="ListParagraph"/>
        <w:numPr>
          <w:ilvl w:val="0"/>
          <w:numId w:val="2"/>
        </w:numPr>
        <w:spacing w:before="40" w:after="60"/>
      </w:pPr>
      <w:r>
        <w:rPr>
          <w:rFonts w:ascii="Arial" w:cs="Arial" w:eastAsia="Arial" w:hAnsi="Arial"/>
          <w:color w:val="1A1A2E"/>
          <w:sz w:val="22"/>
          <w:szCs w:val="22"/>
        </w:rPr>
        <w:t xml:space="preserve">Switch Ashwagandha to Rhodiola Rosea (lower hepatotoxicity profile, compatible with CYP2D6 poor metabolizer).</w:t>
      </w:r>
    </w:p>
    <w:p>
      <w:pPr>
        <w:pStyle w:val="ListParagraph"/>
        <w:numPr>
          <w:ilvl w:val="0"/>
          <w:numId w:val="2"/>
        </w:numPr>
        <w:spacing w:before="40" w:after="60"/>
      </w:pPr>
      <w:r>
        <w:rPr>
          <w:rFonts w:ascii="Arial" w:cs="Arial" w:eastAsia="Arial" w:hAnsi="Arial"/>
          <w:color w:val="1A1A2E"/>
          <w:sz w:val="22"/>
          <w:szCs w:val="22"/>
        </w:rPr>
        <w:t xml:space="preserve">Reduce daily sugar intake from 140g to 90g/day.</w:t>
      </w:r>
    </w:p>
    <w:p>
      <w:pPr>
        <w:pStyle w:val="ListParagraph"/>
        <w:numPr>
          <w:ilvl w:val="0"/>
          <w:numId w:val="2"/>
        </w:numPr>
        <w:spacing w:before="40" w:after="60"/>
      </w:pPr>
      <w:r>
        <w:rPr>
          <w:rFonts w:ascii="Arial" w:cs="Arial" w:eastAsia="Arial" w:hAnsi="Arial"/>
          <w:color w:val="1A1A2E"/>
          <w:sz w:val="22"/>
          <w:szCs w:val="22"/>
        </w:rPr>
        <w:t xml:space="preserve">Add NAC (N-Acetyl Cysteine) as a hepatoprotective agent.</w:t>
      </w:r>
    </w:p>
    <w:p>
      <w:pPr>
        <w:spacing w:before="80" w:after="0"/>
      </w:pPr>
    </w:p>
    <w:p>
      <w:pPr>
        <w:spacing w:before="60" w:after="100"/>
      </w:pPr>
      <w:r>
        <w:rPr>
          <w:rFonts w:ascii="Arial" w:cs="Arial" w:eastAsia="Arial" w:hAnsi="Arial"/>
          <w:color w:val="1A1A2E"/>
          <w:sz w:val="22"/>
          <w:szCs w:val="22"/>
        </w:rPr>
        <w:t xml:space="preserve">Projected outcome with changes:</w:t>
      </w:r>
    </w:p>
    <w:p>
      <w:pPr>
        <w:pStyle w:val="ListParagraph"/>
        <w:numPr>
          <w:ilvl w:val="0"/>
          <w:numId w:val="2"/>
        </w:numPr>
        <w:spacing w:before="40" w:after="60"/>
      </w:pPr>
      <w:r>
        <w:rPr>
          <w:rFonts w:ascii="Arial" w:cs="Arial" w:eastAsia="Arial" w:hAnsi="Arial"/>
          <w:color w:val="1A1A2E"/>
          <w:sz w:val="22"/>
          <w:szCs w:val="22"/>
        </w:rPr>
        <w:t xml:space="preserve">Liver function maintained at ~98% through age 50.</w:t>
      </w:r>
    </w:p>
    <w:p>
      <w:pPr>
        <w:pStyle w:val="ListParagraph"/>
        <w:numPr>
          <w:ilvl w:val="0"/>
          <w:numId w:val="2"/>
        </w:numPr>
        <w:spacing w:before="40" w:after="60"/>
      </w:pPr>
      <w:r>
        <w:rPr>
          <w:rFonts w:ascii="Arial" w:cs="Arial" w:eastAsia="Arial" w:hAnsi="Arial"/>
          <w:color w:val="1A1A2E"/>
          <w:sz w:val="22"/>
          <w:szCs w:val="22"/>
        </w:rPr>
        <w:t xml:space="preserve">Biological age: 3 years younger than chronological age by age 42.</w:t>
      </w:r>
    </w:p>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5. Core Features (MVP)</w:t>
      </w:r>
    </w:p>
    <w:p>
      <w:pPr>
        <w:pStyle w:val="Heading2"/>
        <w:spacing w:before="320" w:after="120"/>
      </w:pPr>
      <w:r>
        <w:rPr>
          <w:rFonts w:ascii="Arial" w:cs="Arial" w:eastAsia="Arial" w:hAnsi="Arial"/>
          <w:b/>
          <w:bCs/>
          <w:color w:val="16213E"/>
          <w:sz w:val="26"/>
          <w:szCs w:val="26"/>
        </w:rPr>
        <w:t xml:space="preserve">5.1 Smart Onboarding</w:t>
      </w:r>
    </w:p>
    <w:p>
      <w:pPr>
        <w:pStyle w:val="ListParagraph"/>
        <w:numPr>
          <w:ilvl w:val="0"/>
          <w:numId w:val="2"/>
        </w:numPr>
        <w:spacing w:before="40" w:after="60"/>
      </w:pPr>
      <w:r>
        <w:rPr>
          <w:rFonts w:ascii="Arial" w:cs="Arial" w:eastAsia="Arial" w:hAnsi="Arial"/>
          <w:color w:val="1A1A2E"/>
          <w:sz w:val="22"/>
          <w:szCs w:val="22"/>
        </w:rPr>
        <w:t xml:space="preserve">Capture age, sex, weight, height, ethnicity.</w:t>
      </w:r>
    </w:p>
    <w:p>
      <w:pPr>
        <w:pStyle w:val="ListParagraph"/>
        <w:numPr>
          <w:ilvl w:val="0"/>
          <w:numId w:val="2"/>
        </w:numPr>
        <w:spacing w:before="40" w:after="60"/>
      </w:pPr>
      <w:r>
        <w:rPr>
          <w:rFonts w:ascii="Arial" w:cs="Arial" w:eastAsia="Arial" w:hAnsi="Arial"/>
          <w:color w:val="1A1A2E"/>
          <w:sz w:val="22"/>
          <w:szCs w:val="22"/>
        </w:rPr>
        <w:t xml:space="preserve">Lifestyle profile: sleep quality/hours, stress level (1-10), activity level, dietary patterns.</w:t>
      </w:r>
    </w:p>
    <w:p>
      <w:pPr>
        <w:pStyle w:val="ListParagraph"/>
        <w:numPr>
          <w:ilvl w:val="0"/>
          <w:numId w:val="2"/>
        </w:numPr>
        <w:spacing w:before="40" w:after="60"/>
      </w:pPr>
      <w:r>
        <w:rPr>
          <w:rFonts w:ascii="Arial" w:cs="Arial" w:eastAsia="Arial" w:hAnsi="Arial"/>
          <w:color w:val="1A1A2E"/>
          <w:sz w:val="22"/>
          <w:szCs w:val="22"/>
        </w:rPr>
        <w:t xml:space="preserve">Current meds &amp; supplements: structured searchable form with auto-complete from DrugBank/DSLD.</w:t>
      </w:r>
    </w:p>
    <w:p>
      <w:pPr>
        <w:pStyle w:val="ListParagraph"/>
        <w:numPr>
          <w:ilvl w:val="0"/>
          <w:numId w:val="2"/>
        </w:numPr>
        <w:spacing w:before="40" w:after="60"/>
      </w:pPr>
      <w:r>
        <w:rPr>
          <w:rFonts w:ascii="Arial" w:cs="Arial" w:eastAsia="Arial" w:hAnsi="Arial"/>
          <w:color w:val="1A1A2E"/>
          <w:sz w:val="22"/>
          <w:szCs w:val="22"/>
        </w:rPr>
        <w:t xml:space="preserve">Health goals: longevity, disease prevention, athletic performance.</w:t>
      </w:r>
    </w:p>
    <w:p>
      <w:pPr>
        <w:pStyle w:val="ListParagraph"/>
        <w:numPr>
          <w:ilvl w:val="0"/>
          <w:numId w:val="2"/>
        </w:numPr>
        <w:spacing w:before="40" w:after="60"/>
      </w:pPr>
      <w:r>
        <w:rPr>
          <w:rFonts w:ascii="Arial" w:cs="Arial" w:eastAsia="Arial" w:hAnsi="Arial"/>
          <w:color w:val="1A1A2E"/>
          <w:sz w:val="22"/>
          <w:szCs w:val="22"/>
        </w:rPr>
        <w:t xml:space="preserve">Consent flows: granular per-data-type (genetics vs lifestyle vs labs).</w:t>
      </w:r>
    </w:p>
    <w:p>
      <w:pPr>
        <w:spacing w:before="80" w:after="0"/>
      </w:pPr>
    </w:p>
    <w:p>
      <w:pPr>
        <w:pStyle w:val="Heading2"/>
        <w:spacing w:before="320" w:after="120"/>
      </w:pPr>
      <w:r>
        <w:rPr>
          <w:rFonts w:ascii="Arial" w:cs="Arial" w:eastAsia="Arial" w:hAnsi="Arial"/>
          <w:b/>
          <w:bCs/>
          <w:color w:val="16213E"/>
          <w:sz w:val="26"/>
          <w:szCs w:val="26"/>
        </w:rPr>
        <w:t xml:space="preserve">5.2 Data Connections</w:t>
      </w:r>
    </w:p>
    <w:p>
      <w:pPr>
        <w:pStyle w:val="ListParagraph"/>
        <w:numPr>
          <w:ilvl w:val="0"/>
          <w:numId w:val="2"/>
        </w:numPr>
        <w:spacing w:before="40" w:after="60"/>
      </w:pPr>
      <w:r>
        <w:rPr>
          <w:rFonts w:ascii="Arial" w:cs="Arial" w:eastAsia="Arial" w:hAnsi="Arial"/>
          <w:color w:val="1A1A2E"/>
          <w:sz w:val="22"/>
          <w:szCs w:val="22"/>
        </w:rPr>
        <w:t xml:space="preserve">Upload genetic file: 23andMe raw data (TSV/ZIP), AncestryDNA CSV.</w:t>
      </w:r>
    </w:p>
    <w:p>
      <w:pPr>
        <w:pStyle w:val="ListParagraph"/>
        <w:numPr>
          <w:ilvl w:val="0"/>
          <w:numId w:val="2"/>
        </w:numPr>
        <w:spacing w:before="40" w:after="60"/>
      </w:pPr>
      <w:r>
        <w:rPr>
          <w:rFonts w:ascii="Arial" w:cs="Arial" w:eastAsia="Arial" w:hAnsi="Arial"/>
          <w:color w:val="1A1A2E"/>
          <w:sz w:val="22"/>
          <w:szCs w:val="22"/>
        </w:rPr>
        <w:t xml:space="preserve">Connect wearables via OAuth: Apple Health, Fitbit, Garmin, Whoop.</w:t>
      </w:r>
    </w:p>
    <w:p>
      <w:pPr>
        <w:pStyle w:val="ListParagraph"/>
        <w:numPr>
          <w:ilvl w:val="0"/>
          <w:numId w:val="2"/>
        </w:numPr>
        <w:spacing w:before="40" w:after="60"/>
      </w:pPr>
      <w:r>
        <w:rPr>
          <w:rFonts w:ascii="Arial" w:cs="Arial" w:eastAsia="Arial" w:hAnsi="Arial"/>
          <w:color w:val="1A1A2E"/>
          <w:sz w:val="22"/>
          <w:szCs w:val="22"/>
        </w:rPr>
        <w:t xml:space="preserve">Manual lab entry: AST, ALT, creatinine, eGFR, HbA1c, CBC, lipid panel.</w:t>
      </w:r>
    </w:p>
    <w:p>
      <w:pPr>
        <w:pStyle w:val="ListParagraph"/>
        <w:numPr>
          <w:ilvl w:val="0"/>
          <w:numId w:val="2"/>
        </w:numPr>
        <w:spacing w:before="40" w:after="60"/>
      </w:pPr>
      <w:r>
        <w:rPr>
          <w:rFonts w:ascii="Arial" w:cs="Arial" w:eastAsia="Arial" w:hAnsi="Arial"/>
          <w:color w:val="1A1A2E"/>
          <w:sz w:val="22"/>
          <w:szCs w:val="22"/>
        </w:rPr>
        <w:t xml:space="preserve">Future: FHIR R4 / HL7 integration for EHR pull.</w:t>
      </w:r>
    </w:p>
    <w:p>
      <w:pPr>
        <w:spacing w:before="80" w:after="0"/>
      </w:pPr>
    </w:p>
    <w:p>
      <w:pPr>
        <w:pStyle w:val="Heading2"/>
        <w:spacing w:before="320" w:after="120"/>
      </w:pPr>
      <w:r>
        <w:rPr>
          <w:rFonts w:ascii="Arial" w:cs="Arial" w:eastAsia="Arial" w:hAnsi="Arial"/>
          <w:b/>
          <w:bCs/>
          <w:color w:val="16213E"/>
          <w:sz w:val="26"/>
          <w:szCs w:val="26"/>
        </w:rPr>
        <w:t xml:space="preserve">5.3 Health Risk Dashboard</w:t>
      </w:r>
    </w:p>
    <w:p>
      <w:pPr>
        <w:pStyle w:val="ListParagraph"/>
        <w:numPr>
          <w:ilvl w:val="0"/>
          <w:numId w:val="2"/>
        </w:numPr>
        <w:spacing w:before="40" w:after="60"/>
      </w:pPr>
      <w:r>
        <w:rPr>
          <w:rFonts w:ascii="Arial" w:cs="Arial" w:eastAsia="Arial" w:hAnsi="Arial"/>
          <w:color w:val="1A1A2E"/>
          <w:sz w:val="22"/>
          <w:szCs w:val="22"/>
        </w:rPr>
        <w:t xml:space="preserve">Organ status tiles: Liver, Kidney, Heart — color-coded Green/Amber/Red risk indicator.</w:t>
      </w:r>
    </w:p>
    <w:p>
      <w:pPr>
        <w:pStyle w:val="ListParagraph"/>
        <w:numPr>
          <w:ilvl w:val="0"/>
          <w:numId w:val="2"/>
        </w:numPr>
        <w:spacing w:before="40" w:after="60"/>
      </w:pPr>
      <w:r>
        <w:rPr>
          <w:rFonts w:ascii="Arial" w:cs="Arial" w:eastAsia="Arial" w:hAnsi="Arial"/>
          <w:color w:val="1A1A2E"/>
          <w:sz w:val="22"/>
          <w:szCs w:val="22"/>
        </w:rPr>
        <w:t xml:space="preserve">Headline prediction: single-sentence risk summary prominently displayed.</w:t>
      </w:r>
    </w:p>
    <w:p>
      <w:pPr>
        <w:pStyle w:val="ListParagraph"/>
        <w:numPr>
          <w:ilvl w:val="0"/>
          <w:numId w:val="2"/>
        </w:numPr>
        <w:spacing w:before="40" w:after="60"/>
      </w:pPr>
      <w:r>
        <w:rPr>
          <w:rFonts w:ascii="Arial" w:cs="Arial" w:eastAsia="Arial" w:hAnsi="Arial"/>
          <w:color w:val="1A1A2E"/>
          <w:sz w:val="22"/>
          <w:szCs w:val="22"/>
        </w:rPr>
        <w:t xml:space="preserve">Biological age vs. chronological age widget (current + 5-year forecast).</w:t>
      </w:r>
    </w:p>
    <w:p>
      <w:pPr>
        <w:pStyle w:val="ListParagraph"/>
        <w:numPr>
          <w:ilvl w:val="0"/>
          <w:numId w:val="2"/>
        </w:numPr>
        <w:spacing w:before="40" w:after="60"/>
      </w:pPr>
      <w:r>
        <w:rPr>
          <w:rFonts w:ascii="Arial" w:cs="Arial" w:eastAsia="Arial" w:hAnsi="Arial"/>
          <w:color w:val="1A1A2E"/>
          <w:sz w:val="22"/>
          <w:szCs w:val="22"/>
        </w:rPr>
        <w:t xml:space="preserve">Top 3 recommended actions with projected impact scores.</w:t>
      </w:r>
    </w:p>
    <w:p>
      <w:pPr>
        <w:spacing w:before="80" w:after="0"/>
      </w:pPr>
    </w:p>
    <w:p>
      <w:pPr>
        <w:pStyle w:val="Heading2"/>
        <w:spacing w:before="320" w:after="120"/>
      </w:pPr>
      <w:r>
        <w:rPr>
          <w:rFonts w:ascii="Arial" w:cs="Arial" w:eastAsia="Arial" w:hAnsi="Arial"/>
          <w:b/>
          <w:bCs/>
          <w:color w:val="16213E"/>
          <w:sz w:val="26"/>
          <w:szCs w:val="26"/>
        </w:rPr>
        <w:t xml:space="preserve">5.4 Organ Trajectory View</w:t>
      </w:r>
    </w:p>
    <w:p>
      <w:pPr>
        <w:pStyle w:val="ListParagraph"/>
        <w:numPr>
          <w:ilvl w:val="0"/>
          <w:numId w:val="2"/>
        </w:numPr>
        <w:spacing w:before="40" w:after="60"/>
      </w:pPr>
      <w:r>
        <w:rPr>
          <w:rFonts w:ascii="Arial" w:cs="Arial" w:eastAsia="Arial" w:hAnsi="Arial"/>
          <w:color w:val="1A1A2E"/>
          <w:sz w:val="22"/>
          <w:szCs w:val="22"/>
        </w:rPr>
        <w:t xml:space="preserve">Interactive line charts: predicted liver function index, kidney function (eGFR), cardiac risk, biological age curve — by year for 5-10 year horizon.</w:t>
      </w:r>
    </w:p>
    <w:p>
      <w:pPr>
        <w:pStyle w:val="ListParagraph"/>
        <w:numPr>
          <w:ilvl w:val="0"/>
          <w:numId w:val="2"/>
        </w:numPr>
        <w:spacing w:before="40" w:after="60"/>
      </w:pPr>
      <w:r>
        <w:rPr>
          <w:rFonts w:ascii="Arial" w:cs="Arial" w:eastAsia="Arial" w:hAnsi="Arial"/>
          <w:color w:val="1A1A2E"/>
          <w:sz w:val="22"/>
          <w:szCs w:val="22"/>
        </w:rPr>
        <w:t xml:space="preserve">Comparison mode: current regimen vs. optimized regimen trajectories on same chart.</w:t>
      </w:r>
    </w:p>
    <w:p>
      <w:pPr>
        <w:pStyle w:val="ListParagraph"/>
        <w:numPr>
          <w:ilvl w:val="0"/>
          <w:numId w:val="2"/>
        </w:numPr>
        <w:spacing w:before="40" w:after="60"/>
      </w:pPr>
      <w:r>
        <w:rPr>
          <w:rFonts w:ascii="Arial" w:cs="Arial" w:eastAsia="Arial" w:hAnsi="Arial"/>
          <w:color w:val="1A1A2E"/>
          <w:sz w:val="22"/>
          <w:szCs w:val="22"/>
        </w:rPr>
        <w:t xml:space="preserve">Hover: confidence intervals and data source citations at each data point.</w:t>
      </w:r>
    </w:p>
    <w:p>
      <w:pPr>
        <w:spacing w:before="80" w:after="0"/>
      </w:pPr>
    </w:p>
    <w:p>
      <w:pPr>
        <w:pStyle w:val="Heading2"/>
        <w:spacing w:before="320" w:after="120"/>
      </w:pPr>
      <w:r>
        <w:rPr>
          <w:rFonts w:ascii="Arial" w:cs="Arial" w:eastAsia="Arial" w:hAnsi="Arial"/>
          <w:b/>
          <w:bCs/>
          <w:color w:val="16213E"/>
          <w:sz w:val="26"/>
          <w:szCs w:val="26"/>
        </w:rPr>
        <w:t xml:space="preserve">5.5 Personalized Recommendations</w:t>
      </w:r>
    </w:p>
    <w:p>
      <w:pPr>
        <w:pStyle w:val="ListParagraph"/>
        <w:numPr>
          <w:ilvl w:val="0"/>
          <w:numId w:val="2"/>
        </w:numPr>
        <w:spacing w:before="40" w:after="60"/>
      </w:pPr>
      <w:r>
        <w:rPr>
          <w:rFonts w:ascii="Arial" w:cs="Arial" w:eastAsia="Arial" w:hAnsi="Arial"/>
          <w:color w:val="1A1A2E"/>
          <w:sz w:val="22"/>
          <w:szCs w:val="22"/>
        </w:rPr>
        <w:t xml:space="preserve">Concrete, ranked changes: switch X to Y, reduce dose, add supplement, change behavior.</w:t>
      </w:r>
    </w:p>
    <w:p>
      <w:pPr>
        <w:pStyle w:val="ListParagraph"/>
        <w:numPr>
          <w:ilvl w:val="0"/>
          <w:numId w:val="2"/>
        </w:numPr>
        <w:spacing w:before="40" w:after="60"/>
      </w:pPr>
      <w:r>
        <w:rPr>
          <w:rFonts w:ascii="Arial" w:cs="Arial" w:eastAsia="Arial" w:hAnsi="Arial"/>
          <w:color w:val="1A1A2E"/>
          <w:sz w:val="22"/>
          <w:szCs w:val="22"/>
        </w:rPr>
        <w:t xml:space="preserve">Per-recommendation: expected benefit (% organ function improvement), confidence score, evidence sources (PharmGKB guideline ID, ToxCast assay reference, peer-reviewed citation).</w:t>
      </w:r>
    </w:p>
    <w:p>
      <w:pPr>
        <w:pStyle w:val="ListParagraph"/>
        <w:numPr>
          <w:ilvl w:val="0"/>
          <w:numId w:val="2"/>
        </w:numPr>
        <w:spacing w:before="40" w:after="60"/>
      </w:pPr>
      <w:r>
        <w:rPr>
          <w:rFonts w:ascii="Arial" w:cs="Arial" w:eastAsia="Arial" w:hAnsi="Arial"/>
          <w:color w:val="1A1A2E"/>
          <w:sz w:val="22"/>
          <w:szCs w:val="22"/>
        </w:rPr>
        <w:t xml:space="preserve">User constraints respected: budget limits, dietary restrictions, accessibility.</w:t>
      </w:r>
    </w:p>
    <w:p>
      <w:pPr>
        <w:pStyle w:val="ListParagraph"/>
        <w:numPr>
          <w:ilvl w:val="0"/>
          <w:numId w:val="2"/>
        </w:numPr>
        <w:spacing w:before="40" w:after="60"/>
      </w:pPr>
      <w:r>
        <w:rPr>
          <w:rFonts w:ascii="Arial" w:cs="Arial" w:eastAsia="Arial" w:hAnsi="Arial"/>
          <w:color w:val="1A1A2E"/>
          <w:sz w:val="22"/>
          <w:szCs w:val="22"/>
        </w:rPr>
        <w:t xml:space="preserve">Explanation in plain English: why this matters for your genotype and your specific combination.</w:t>
      </w:r>
    </w:p>
    <w:p>
      <w:pPr>
        <w:spacing w:before="80" w:after="0"/>
      </w:pPr>
    </w:p>
    <w:p>
      <w:pPr>
        <w:pStyle w:val="Heading2"/>
        <w:spacing w:before="320" w:after="120"/>
      </w:pPr>
      <w:r>
        <w:rPr>
          <w:rFonts w:ascii="Arial" w:cs="Arial" w:eastAsia="Arial" w:hAnsi="Arial"/>
          <w:b/>
          <w:bCs/>
          <w:color w:val="16213E"/>
          <w:sz w:val="26"/>
          <w:szCs w:val="26"/>
        </w:rPr>
        <w:t xml:space="preserve">5.6 Experiment &amp; Feedback Loop</w:t>
      </w:r>
    </w:p>
    <w:p>
      <w:pPr>
        <w:pStyle w:val="ListParagraph"/>
        <w:numPr>
          <w:ilvl w:val="0"/>
          <w:numId w:val="2"/>
        </w:numPr>
        <w:spacing w:before="40" w:after="60"/>
      </w:pPr>
      <w:r>
        <w:rPr>
          <w:rFonts w:ascii="Arial" w:cs="Arial" w:eastAsia="Arial" w:hAnsi="Arial"/>
          <w:color w:val="1A1A2E"/>
          <w:sz w:val="22"/>
          <w:szCs w:val="22"/>
        </w:rPr>
        <w:t xml:space="preserve">User marks which recommendations they adopted (partial or full).</w:t>
      </w:r>
    </w:p>
    <w:p>
      <w:pPr>
        <w:pStyle w:val="ListParagraph"/>
        <w:numPr>
          <w:ilvl w:val="0"/>
          <w:numId w:val="2"/>
        </w:numPr>
        <w:spacing w:before="40" w:after="60"/>
      </w:pPr>
      <w:r>
        <w:rPr>
          <w:rFonts w:ascii="Arial" w:cs="Arial" w:eastAsia="Arial" w:hAnsi="Arial"/>
          <w:color w:val="1A1A2E"/>
          <w:sz w:val="22"/>
          <w:szCs w:val="22"/>
        </w:rPr>
        <w:t xml:space="preserve">Automated prompt to log new labs after 3-6 months.</w:t>
      </w:r>
    </w:p>
    <w:p>
      <w:pPr>
        <w:pStyle w:val="ListParagraph"/>
        <w:numPr>
          <w:ilvl w:val="0"/>
          <w:numId w:val="2"/>
        </w:numPr>
        <w:spacing w:before="40" w:after="60"/>
      </w:pPr>
      <w:r>
        <w:rPr>
          <w:rFonts w:ascii="Arial" w:cs="Arial" w:eastAsia="Arial" w:hAnsi="Arial"/>
          <w:color w:val="1A1A2E"/>
          <w:sz w:val="22"/>
          <w:szCs w:val="22"/>
        </w:rPr>
        <w:t xml:space="preserve">System compares predicted vs. actual lab values — updates model confidence and user digital twin.</w:t>
      </w:r>
    </w:p>
    <w:p>
      <w:pPr>
        <w:pStyle w:val="ListParagraph"/>
        <w:numPr>
          <w:ilvl w:val="0"/>
          <w:numId w:val="2"/>
        </w:numPr>
        <w:spacing w:before="40" w:after="60"/>
      </w:pPr>
      <w:r>
        <w:rPr>
          <w:rFonts w:ascii="Arial" w:cs="Arial" w:eastAsia="Arial" w:hAnsi="Arial"/>
          <w:color w:val="1A1A2E"/>
          <w:sz w:val="22"/>
          <w:szCs w:val="22"/>
        </w:rPr>
        <w:t xml:space="preserve">Longitudinal before/after view: visualize progress since starting EIRION.</w:t>
      </w:r>
    </w:p>
    <w:p>
      <w:pPr>
        <w:spacing w:before="80" w:after="0"/>
      </w:pPr>
    </w:p>
    <w:p>
      <w:pPr>
        <w:pStyle w:val="Heading2"/>
        <w:spacing w:before="320" w:after="120"/>
      </w:pPr>
      <w:r>
        <w:rPr>
          <w:rFonts w:ascii="Arial" w:cs="Arial" w:eastAsia="Arial" w:hAnsi="Arial"/>
          <w:b/>
          <w:bCs/>
          <w:color w:val="16213E"/>
          <w:sz w:val="26"/>
          <w:szCs w:val="26"/>
        </w:rPr>
        <w:t xml:space="preserve">5.7 Proposed Additions &amp; Improvements to Original Spec</w:t>
      </w:r>
    </w:p>
    <w:p>
      <w:pPr>
        <w:pBdr>
          <w:left w:val="single" w:color="C9A84C" w:sz="12"/>
        </w:pBdr>
        <w:shd w:fill="FFF3E0" w:val="clear"/>
        <w:spacing w:before="60" w:after="80"/>
        <w:ind w:left="360"/>
      </w:pPr>
      <w:r>
        <w:rPr>
          <w:rFonts w:ascii="Arial" w:cs="Arial" w:eastAsia="Arial" w:hAnsi="Arial"/>
          <w:i/>
          <w:iCs/>
          <w:color w:val="C9A84C"/>
          <w:sz w:val="20"/>
          <w:szCs w:val="20"/>
        </w:rPr>
        <w:t xml:space="preserve">The following features are additions/improvements beyond the original specification:</w:t>
      </w:r>
    </w:p>
    <w:p>
      <w:pPr>
        <w:pStyle w:val="ListParagraph"/>
        <w:numPr>
          <w:ilvl w:val="0"/>
          <w:numId w:val="2"/>
        </w:numPr>
        <w:spacing w:before="40" w:after="60"/>
      </w:pPr>
      <w:r>
        <w:rPr>
          <w:rFonts w:ascii="Arial" w:cs="Arial" w:eastAsia="Arial" w:hAnsi="Arial"/>
          <w:b/>
          <w:bCs/>
          <w:color w:val="0F3460"/>
          <w:sz w:val="22"/>
          <w:szCs w:val="22"/>
        </w:rPr>
        <w:t xml:space="preserve">Polypharmacy Score: </w:t>
      </w:r>
      <w:r>
        <w:rPr>
          <w:rFonts w:ascii="Arial" w:cs="Arial" w:eastAsia="Arial" w:hAnsi="Arial"/>
          <w:color w:val="1A1A2E"/>
          <w:sz w:val="22"/>
          <w:szCs w:val="22"/>
        </w:rPr>
        <w:t xml:space="preserve">A single composite score (0-100) summarizing total regimen safety burden, making it easier for non-experts to understand risk at a glance.</w:t>
      </w:r>
    </w:p>
    <w:p>
      <w:pPr>
        <w:pStyle w:val="ListParagraph"/>
        <w:numPr>
          <w:ilvl w:val="0"/>
          <w:numId w:val="2"/>
        </w:numPr>
        <w:spacing w:before="40" w:after="60"/>
      </w:pPr>
      <w:r>
        <w:rPr>
          <w:rFonts w:ascii="Arial" w:cs="Arial" w:eastAsia="Arial" w:hAnsi="Arial"/>
          <w:b/>
          <w:bCs/>
          <w:color w:val="0F3460"/>
          <w:sz w:val="22"/>
          <w:szCs w:val="22"/>
        </w:rPr>
        <w:t xml:space="preserve">Supplement-Drug Interaction Alerts: </w:t>
      </w:r>
      <w:r>
        <w:rPr>
          <w:rFonts w:ascii="Arial" w:cs="Arial" w:eastAsia="Arial" w:hAnsi="Arial"/>
          <w:color w:val="1A1A2E"/>
          <w:sz w:val="22"/>
          <w:szCs w:val="22"/>
        </w:rPr>
        <w:t xml:space="preserve">Real-time alerts on the regimen entry screen (not just in reports) when a newly added item has known severe interactions.</w:t>
      </w:r>
    </w:p>
    <w:p>
      <w:pPr>
        <w:pStyle w:val="ListParagraph"/>
        <w:numPr>
          <w:ilvl w:val="0"/>
          <w:numId w:val="2"/>
        </w:numPr>
        <w:spacing w:before="40" w:after="60"/>
      </w:pPr>
      <w:r>
        <w:rPr>
          <w:rFonts w:ascii="Arial" w:cs="Arial" w:eastAsia="Arial" w:hAnsi="Arial"/>
          <w:b/>
          <w:bCs/>
          <w:color w:val="0F3460"/>
          <w:sz w:val="22"/>
          <w:szCs w:val="22"/>
        </w:rPr>
        <w:t xml:space="preserve">Circadian-Aware Dosing: </w:t>
      </w:r>
      <w:r>
        <w:rPr>
          <w:rFonts w:ascii="Arial" w:cs="Arial" w:eastAsia="Arial" w:hAnsi="Arial"/>
          <w:color w:val="1A1A2E"/>
          <w:sz w:val="22"/>
          <w:szCs w:val="22"/>
        </w:rPr>
        <w:t xml:space="preserve">Recommendations on timing of supplements/meds based on chronobiology research (e.g., Vitamin D in morning, Magnesium at night).</w:t>
      </w:r>
    </w:p>
    <w:p>
      <w:pPr>
        <w:pStyle w:val="ListParagraph"/>
        <w:numPr>
          <w:ilvl w:val="0"/>
          <w:numId w:val="2"/>
        </w:numPr>
        <w:spacing w:before="40" w:after="60"/>
      </w:pPr>
      <w:r>
        <w:rPr>
          <w:rFonts w:ascii="Arial" w:cs="Arial" w:eastAsia="Arial" w:hAnsi="Arial"/>
          <w:b/>
          <w:bCs/>
          <w:color w:val="0F3460"/>
          <w:sz w:val="22"/>
          <w:szCs w:val="22"/>
        </w:rPr>
        <w:t xml:space="preserve">Genetic Ancestry Context: </w:t>
      </w:r>
      <w:r>
        <w:rPr>
          <w:rFonts w:ascii="Arial" w:cs="Arial" w:eastAsia="Arial" w:hAnsi="Arial"/>
          <w:color w:val="1A1A2E"/>
          <w:sz w:val="22"/>
          <w:szCs w:val="22"/>
        </w:rPr>
        <w:t xml:space="preserve">Use ancestry composition (from raw data) to adjust population-level risk baselines (East Asian CYP2C19 ultra-rapid metabolizer rates differ significantly from European).</w:t>
      </w:r>
    </w:p>
    <w:p>
      <w:pPr>
        <w:pStyle w:val="ListParagraph"/>
        <w:numPr>
          <w:ilvl w:val="0"/>
          <w:numId w:val="2"/>
        </w:numPr>
        <w:spacing w:before="40" w:after="60"/>
      </w:pPr>
      <w:r>
        <w:rPr>
          <w:rFonts w:ascii="Arial" w:cs="Arial" w:eastAsia="Arial" w:hAnsi="Arial"/>
          <w:b/>
          <w:bCs/>
          <w:color w:val="0F3460"/>
          <w:sz w:val="22"/>
          <w:szCs w:val="22"/>
        </w:rPr>
        <w:t xml:space="preserve">Community Anonymized Benchmarks: </w:t>
      </w:r>
      <w:r>
        <w:rPr>
          <w:rFonts w:ascii="Arial" w:cs="Arial" w:eastAsia="Arial" w:hAnsi="Arial"/>
          <w:color w:val="1A1A2E"/>
          <w:sz w:val="22"/>
          <w:szCs w:val="22"/>
        </w:rPr>
        <w:t xml:space="preserve">Show how your biological age compares to de-identified users with similar genotypes and demographics (opt-in).</w:t>
      </w:r>
    </w:p>
    <w:p>
      <w:pPr>
        <w:pStyle w:val="ListParagraph"/>
        <w:numPr>
          <w:ilvl w:val="0"/>
          <w:numId w:val="2"/>
        </w:numPr>
        <w:spacing w:before="40" w:after="60"/>
      </w:pPr>
      <w:r>
        <w:rPr>
          <w:rFonts w:ascii="Arial" w:cs="Arial" w:eastAsia="Arial" w:hAnsi="Arial"/>
          <w:b/>
          <w:bCs/>
          <w:color w:val="0F3460"/>
          <w:sz w:val="22"/>
          <w:szCs w:val="22"/>
        </w:rPr>
        <w:t xml:space="preserve">Clinician Share Report: </w:t>
      </w:r>
      <w:r>
        <w:rPr>
          <w:rFonts w:ascii="Arial" w:cs="Arial" w:eastAsia="Arial" w:hAnsi="Arial"/>
          <w:color w:val="1A1A2E"/>
          <w:sz w:val="22"/>
          <w:szCs w:val="22"/>
        </w:rPr>
        <w:t xml:space="preserve">One-click PDF/FHIR export of predictions and recommendations formatted for a doctor visit.</w:t>
      </w:r>
    </w:p>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6. System Architecture Overview</w:t>
      </w:r>
    </w:p>
    <w:p>
      <w:pPr>
        <w:spacing w:before="60" w:after="100"/>
      </w:pPr>
      <w:r>
        <w:rPr>
          <w:rFonts w:ascii="Arial" w:cs="Arial" w:eastAsia="Arial" w:hAnsi="Arial"/>
          <w:color w:val="1A1A2E"/>
          <w:sz w:val="22"/>
          <w:szCs w:val="22"/>
        </w:rPr>
        <w:t xml:space="preserve">EIRION's architecture is organized into three primary planes — Experience, Intelligence, and Data — with cross-cutting concerns for security, observability, and explainability threaded throughout.</w:t>
      </w:r>
    </w:p>
    <w:p>
      <w:pPr>
        <w:spacing w:before="80" w:after="0"/>
      </w:pPr>
    </w:p>
    <w:p>
      <w:pPr>
        <w:shd w:fill="0F3460" w:val="clear"/>
        <w:spacing w:before="60" w:after="80"/>
        <w:jc w:val="center"/>
      </w:pPr>
      <w:r>
        <w:rPr>
          <w:rFonts w:ascii="Arial" w:cs="Arial" w:eastAsia="Arial" w:hAnsi="Arial"/>
          <w:b/>
          <w:bCs/>
          <w:color w:val="FFFFFF"/>
          <w:sz w:val="22"/>
          <w:szCs w:val="22"/>
        </w:rPr>
        <w:t xml:space="preserve">ARCHITECTURE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Plane</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Components</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Responsibility</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Experience Layer</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Web App (React), Mobile App (React Native, Phase 2)</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All user-facing interfaces, onboarding, dashboards, charts, recommendation feed</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Application Layer</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API Gateway, BFF, Auth Service, Ingestion Service, Profile Service, Orchestrator, Recommendation Engine, Experiment Service</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Business logic, routing, data composition, user management</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Intelligence Layer</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Feature Builder, Toxicity Predictor, Digital Twin, RL Optimizer, Explainability Service</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All AI/ML inference; offline training pipelines</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Data Layer</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PostgreSQL, MongoDB, TimescaleDB, Redis, S3, Model Registry, Knowledge DBs</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Persistent storage, caching, model versioning, external knowledge bases</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Cross-Cutting</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Auth/AuthZ (Keycloak/Auth0), Monitoring (Datadog), Audit Logs, SHAP Explainability, CI/CD (GitHub Actions)</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Security, observability, compliance, deployment</w:t>
            </w:r>
          </w:p>
        </w:tc>
      </w:tr>
    </w:tbl>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7. Detailed Architecture: All Layers</w:t>
      </w:r>
    </w:p>
    <w:p>
      <w:pPr>
        <w:pStyle w:val="Heading2"/>
        <w:spacing w:before="320" w:after="120"/>
      </w:pPr>
      <w:r>
        <w:rPr>
          <w:rFonts w:ascii="Arial" w:cs="Arial" w:eastAsia="Arial" w:hAnsi="Arial"/>
          <w:b/>
          <w:bCs/>
          <w:color w:val="16213E"/>
          <w:sz w:val="26"/>
          <w:szCs w:val="26"/>
        </w:rPr>
        <w:t xml:space="preserve">7.1 Experience Layer (Frontend)</w:t>
      </w:r>
    </w:p>
    <w:p>
      <w:pPr>
        <w:pStyle w:val="Heading3"/>
        <w:spacing w:before="200" w:after="80"/>
      </w:pPr>
      <w:r>
        <w:rPr>
          <w:rFonts w:ascii="Arial" w:cs="Arial" w:eastAsia="Arial" w:hAnsi="Arial"/>
          <w:b/>
          <w:bCs/>
          <w:color w:val="0A8A8A"/>
          <w:sz w:val="22"/>
          <w:szCs w:val="22"/>
        </w:rPr>
        <w:t xml:space="preserve">Web Application (MVP)</w:t>
      </w:r>
    </w:p>
    <w:p>
      <w:pPr>
        <w:pStyle w:val="ListParagraph"/>
        <w:numPr>
          <w:ilvl w:val="0"/>
          <w:numId w:val="2"/>
        </w:numPr>
        <w:spacing w:before="40" w:after="60"/>
      </w:pPr>
      <w:r>
        <w:rPr>
          <w:rFonts w:ascii="Arial" w:cs="Arial" w:eastAsia="Arial" w:hAnsi="Arial"/>
          <w:color w:val="1A1A2E"/>
          <w:sz w:val="22"/>
          <w:szCs w:val="22"/>
        </w:rPr>
        <w:t xml:space="preserve">Framework: React 18 + TypeScript</w:t>
      </w:r>
    </w:p>
    <w:p>
      <w:pPr>
        <w:pStyle w:val="ListParagraph"/>
        <w:numPr>
          <w:ilvl w:val="0"/>
          <w:numId w:val="2"/>
        </w:numPr>
        <w:spacing w:before="40" w:after="60"/>
      </w:pPr>
      <w:r>
        <w:rPr>
          <w:rFonts w:ascii="Arial" w:cs="Arial" w:eastAsia="Arial" w:hAnsi="Arial"/>
          <w:color w:val="1A1A2E"/>
          <w:sz w:val="22"/>
          <w:szCs w:val="22"/>
        </w:rPr>
        <w:t xml:space="preserve">UI Library: shadcn/ui + Tailwind CSS</w:t>
      </w:r>
    </w:p>
    <w:p>
      <w:pPr>
        <w:pStyle w:val="ListParagraph"/>
        <w:numPr>
          <w:ilvl w:val="0"/>
          <w:numId w:val="2"/>
        </w:numPr>
        <w:spacing w:before="40" w:after="60"/>
      </w:pPr>
      <w:r>
        <w:rPr>
          <w:rFonts w:ascii="Arial" w:cs="Arial" w:eastAsia="Arial" w:hAnsi="Arial"/>
          <w:color w:val="1A1A2E"/>
          <w:sz w:val="22"/>
          <w:szCs w:val="22"/>
        </w:rPr>
        <w:t xml:space="preserve">Data Visualization: Recharts (organ trajectory charts), D3.js (biological age gauge)</w:t>
      </w:r>
    </w:p>
    <w:p>
      <w:pPr>
        <w:pStyle w:val="ListParagraph"/>
        <w:numPr>
          <w:ilvl w:val="0"/>
          <w:numId w:val="2"/>
        </w:numPr>
        <w:spacing w:before="40" w:after="60"/>
      </w:pPr>
      <w:r>
        <w:rPr>
          <w:rFonts w:ascii="Arial" w:cs="Arial" w:eastAsia="Arial" w:hAnsi="Arial"/>
          <w:color w:val="1A1A2E"/>
          <w:sz w:val="22"/>
          <w:szCs w:val="22"/>
        </w:rPr>
        <w:t xml:space="preserve">State Management: Zustand + React Query (server state)</w:t>
      </w:r>
    </w:p>
    <w:p>
      <w:pPr>
        <w:pStyle w:val="ListParagraph"/>
        <w:numPr>
          <w:ilvl w:val="0"/>
          <w:numId w:val="2"/>
        </w:numPr>
        <w:spacing w:before="40" w:after="60"/>
      </w:pPr>
      <w:r>
        <w:rPr>
          <w:rFonts w:ascii="Arial" w:cs="Arial" w:eastAsia="Arial" w:hAnsi="Arial"/>
          <w:color w:val="1A1A2E"/>
          <w:sz w:val="22"/>
          <w:szCs w:val="22"/>
        </w:rPr>
        <w:t xml:space="preserve">Genetic File Parsing: Client-side WebWorker to parse 23andMe TSV files before upload</w:t>
      </w:r>
    </w:p>
    <w:p>
      <w:pPr>
        <w:pStyle w:val="ListParagraph"/>
        <w:numPr>
          <w:ilvl w:val="0"/>
          <w:numId w:val="2"/>
        </w:numPr>
        <w:spacing w:before="40" w:after="60"/>
      </w:pPr>
      <w:r>
        <w:rPr>
          <w:rFonts w:ascii="Arial" w:cs="Arial" w:eastAsia="Arial" w:hAnsi="Arial"/>
          <w:color w:val="1A1A2E"/>
          <w:sz w:val="22"/>
          <w:szCs w:val="22"/>
        </w:rPr>
        <w:t xml:space="preserve">Auth: JWT tokens via OAuth2 (Google SSO + email/password)</w:t>
      </w:r>
    </w:p>
    <w:p>
      <w:pPr>
        <w:spacing w:before="80" w:after="0"/>
      </w:pPr>
    </w:p>
    <w:p>
      <w:pPr>
        <w:pStyle w:val="Heading3"/>
        <w:spacing w:before="200" w:after="80"/>
      </w:pPr>
      <w:r>
        <w:rPr>
          <w:rFonts w:ascii="Arial" w:cs="Arial" w:eastAsia="Arial" w:hAnsi="Arial"/>
          <w:b/>
          <w:bCs/>
          <w:color w:val="0A8A8A"/>
          <w:sz w:val="22"/>
          <w:szCs w:val="22"/>
        </w:rPr>
        <w:t xml:space="preserve">Key Screens</w:t>
      </w:r>
    </w:p>
    <w:p>
      <w:pPr>
        <w:pStyle w:val="ListParagraph"/>
        <w:numPr>
          <w:ilvl w:val="0"/>
          <w:numId w:val="3"/>
        </w:numPr>
        <w:spacing w:before="40" w:after="60"/>
      </w:pPr>
      <w:r>
        <w:rPr>
          <w:rFonts w:ascii="Arial" w:cs="Arial" w:eastAsia="Arial" w:hAnsi="Arial"/>
          <w:color w:val="1A1A2E"/>
          <w:sz w:val="22"/>
          <w:szCs w:val="22"/>
        </w:rPr>
        <w:t xml:space="preserve">Onboarding Wizard — 5 steps: demographics, stack entry, lifestyle, data connections, consent.</w:t>
      </w:r>
    </w:p>
    <w:p>
      <w:pPr>
        <w:pStyle w:val="ListParagraph"/>
        <w:numPr>
          <w:ilvl w:val="0"/>
          <w:numId w:val="3"/>
        </w:numPr>
        <w:spacing w:before="40" w:after="60"/>
      </w:pPr>
      <w:r>
        <w:rPr>
          <w:rFonts w:ascii="Arial" w:cs="Arial" w:eastAsia="Arial" w:hAnsi="Arial"/>
          <w:color w:val="1A1A2E"/>
          <w:sz w:val="22"/>
          <w:szCs w:val="22"/>
        </w:rPr>
        <w:t xml:space="preserve">Dashboard — organ risk tiles, biological age widget, headline prediction, top recommendations.</w:t>
      </w:r>
    </w:p>
    <w:p>
      <w:pPr>
        <w:pStyle w:val="ListParagraph"/>
        <w:numPr>
          <w:ilvl w:val="0"/>
          <w:numId w:val="3"/>
        </w:numPr>
        <w:spacing w:before="40" w:after="60"/>
      </w:pPr>
      <w:r>
        <w:rPr>
          <w:rFonts w:ascii="Arial" w:cs="Arial" w:eastAsia="Arial" w:hAnsi="Arial"/>
          <w:color w:val="1A1A2E"/>
          <w:sz w:val="22"/>
          <w:szCs w:val="22"/>
        </w:rPr>
        <w:t xml:space="preserve">Trajectory View — multi-organ charts with timeline slider and comparison mode.</w:t>
      </w:r>
    </w:p>
    <w:p>
      <w:pPr>
        <w:pStyle w:val="ListParagraph"/>
        <w:numPr>
          <w:ilvl w:val="0"/>
          <w:numId w:val="3"/>
        </w:numPr>
        <w:spacing w:before="40" w:after="60"/>
      </w:pPr>
      <w:r>
        <w:rPr>
          <w:rFonts w:ascii="Arial" w:cs="Arial" w:eastAsia="Arial" w:hAnsi="Arial"/>
          <w:color w:val="1A1A2E"/>
          <w:sz w:val="22"/>
          <w:szCs w:val="22"/>
        </w:rPr>
        <w:t xml:space="preserve">Recommendations Feed — ranked cards with expand/collapse, evidence links, adopt/skip tracking.</w:t>
      </w:r>
    </w:p>
    <w:p>
      <w:pPr>
        <w:pStyle w:val="ListParagraph"/>
        <w:numPr>
          <w:ilvl w:val="0"/>
          <w:numId w:val="3"/>
        </w:numPr>
        <w:spacing w:before="40" w:after="60"/>
      </w:pPr>
      <w:r>
        <w:rPr>
          <w:rFonts w:ascii="Arial" w:cs="Arial" w:eastAsia="Arial" w:hAnsi="Arial"/>
          <w:color w:val="1A1A2E"/>
          <w:sz w:val="22"/>
          <w:szCs w:val="22"/>
        </w:rPr>
        <w:t xml:space="preserve">Lab Entry — structured form with reference range validation and historical comparison.</w:t>
      </w:r>
    </w:p>
    <w:p>
      <w:pPr>
        <w:pStyle w:val="ListParagraph"/>
        <w:numPr>
          <w:ilvl w:val="0"/>
          <w:numId w:val="3"/>
        </w:numPr>
        <w:spacing w:before="40" w:after="60"/>
      </w:pPr>
      <w:r>
        <w:rPr>
          <w:rFonts w:ascii="Arial" w:cs="Arial" w:eastAsia="Arial" w:hAnsi="Arial"/>
          <w:color w:val="1A1A2E"/>
          <w:sz w:val="22"/>
          <w:szCs w:val="22"/>
        </w:rPr>
        <w:t xml:space="preserve">Progress View — before/after delta visualizations; prediction accuracy track record.</w:t>
      </w:r>
    </w:p>
    <w:p>
      <w:pPr>
        <w:spacing w:before="120" w:after="0"/>
      </w:pPr>
    </w:p>
    <w:p>
      <w:pPr>
        <w:pStyle w:val="Heading2"/>
        <w:spacing w:before="320" w:after="120"/>
      </w:pPr>
      <w:r>
        <w:rPr>
          <w:rFonts w:ascii="Arial" w:cs="Arial" w:eastAsia="Arial" w:hAnsi="Arial"/>
          <w:b/>
          <w:bCs/>
          <w:color w:val="16213E"/>
          <w:sz w:val="26"/>
          <w:szCs w:val="26"/>
        </w:rPr>
        <w:t xml:space="preserve">7.2 Application &amp; API Layer (Backend Services)</w:t>
      </w:r>
    </w:p>
    <w:p>
      <w:pPr>
        <w:pStyle w:val="Heading3"/>
        <w:spacing w:before="200" w:after="80"/>
      </w:pPr>
      <w:r>
        <w:rPr>
          <w:rFonts w:ascii="Arial" w:cs="Arial" w:eastAsia="Arial" w:hAnsi="Arial"/>
          <w:b/>
          <w:bCs/>
          <w:color w:val="0A8A8A"/>
          <w:sz w:val="22"/>
          <w:szCs w:val="22"/>
        </w:rPr>
        <w:t xml:space="preserve">API Gateway / BFF</w:t>
      </w:r>
    </w:p>
    <w:p>
      <w:pPr>
        <w:pStyle w:val="ListParagraph"/>
        <w:numPr>
          <w:ilvl w:val="0"/>
          <w:numId w:val="2"/>
        </w:numPr>
        <w:spacing w:before="40" w:after="60"/>
      </w:pPr>
      <w:r>
        <w:rPr>
          <w:rFonts w:ascii="Arial" w:cs="Arial" w:eastAsia="Arial" w:hAnsi="Arial"/>
          <w:color w:val="1A1A2E"/>
          <w:sz w:val="22"/>
          <w:szCs w:val="22"/>
        </w:rPr>
        <w:t xml:space="preserve">Technology: Kong Gateway (OSS) or AWS API Gateway.</w:t>
      </w:r>
    </w:p>
    <w:p>
      <w:pPr>
        <w:pStyle w:val="ListParagraph"/>
        <w:numPr>
          <w:ilvl w:val="0"/>
          <w:numId w:val="2"/>
        </w:numPr>
        <w:spacing w:before="40" w:after="60"/>
      </w:pPr>
      <w:r>
        <w:rPr>
          <w:rFonts w:ascii="Arial" w:cs="Arial" w:eastAsia="Arial" w:hAnsi="Arial"/>
          <w:color w:val="1A1A2E"/>
          <w:sz w:val="22"/>
          <w:szCs w:val="22"/>
        </w:rPr>
        <w:t xml:space="preserve">Responsibilities: rate limiting, JWT validation, request routing, response caching, CORS.</w:t>
      </w:r>
    </w:p>
    <w:p>
      <w:pPr>
        <w:pStyle w:val="ListParagraph"/>
        <w:numPr>
          <w:ilvl w:val="0"/>
          <w:numId w:val="2"/>
        </w:numPr>
        <w:spacing w:before="40" w:after="60"/>
      </w:pPr>
      <w:r>
        <w:rPr>
          <w:rFonts w:ascii="Arial" w:cs="Arial" w:eastAsia="Arial" w:hAnsi="Arial"/>
          <w:color w:val="1A1A2E"/>
          <w:sz w:val="22"/>
          <w:szCs w:val="22"/>
        </w:rPr>
        <w:t xml:space="preserve">BFF pattern: separate BFF service per client type (web vs. mobile) to optimize payloads.</w:t>
      </w:r>
    </w:p>
    <w:p>
      <w:pPr>
        <w:spacing w:before="80" w:after="0"/>
      </w:pPr>
    </w:p>
    <w:p>
      <w:pPr>
        <w:pStyle w:val="Heading3"/>
        <w:spacing w:before="200" w:after="80"/>
      </w:pPr>
      <w:r>
        <w:rPr>
          <w:rFonts w:ascii="Arial" w:cs="Arial" w:eastAsia="Arial" w:hAnsi="Arial"/>
          <w:b/>
          <w:bCs/>
          <w:color w:val="0A8A8A"/>
          <w:sz w:val="22"/>
          <w:szCs w:val="22"/>
        </w:rPr>
        <w:t xml:space="preserve">Auth Service</w:t>
      </w:r>
    </w:p>
    <w:p>
      <w:pPr>
        <w:pStyle w:val="ListParagraph"/>
        <w:numPr>
          <w:ilvl w:val="0"/>
          <w:numId w:val="2"/>
        </w:numPr>
        <w:spacing w:before="40" w:after="60"/>
      </w:pPr>
      <w:r>
        <w:rPr>
          <w:rFonts w:ascii="Arial" w:cs="Arial" w:eastAsia="Arial" w:hAnsi="Arial"/>
          <w:color w:val="1A1A2E"/>
          <w:sz w:val="22"/>
          <w:szCs w:val="22"/>
        </w:rPr>
        <w:t xml:space="preserve">Technology: Keycloak (self-hosted) or Auth0 (managed).</w:t>
      </w:r>
    </w:p>
    <w:p>
      <w:pPr>
        <w:pStyle w:val="ListParagraph"/>
        <w:numPr>
          <w:ilvl w:val="0"/>
          <w:numId w:val="2"/>
        </w:numPr>
        <w:spacing w:before="40" w:after="60"/>
      </w:pPr>
      <w:r>
        <w:rPr>
          <w:rFonts w:ascii="Arial" w:cs="Arial" w:eastAsia="Arial" w:hAnsi="Arial"/>
          <w:color w:val="1A1A2E"/>
          <w:sz w:val="22"/>
          <w:szCs w:val="22"/>
        </w:rPr>
        <w:t xml:space="preserve">JWT access tokens (15 min expiry) + refresh tokens (7 days).</w:t>
      </w:r>
    </w:p>
    <w:p>
      <w:pPr>
        <w:pStyle w:val="ListParagraph"/>
        <w:numPr>
          <w:ilvl w:val="0"/>
          <w:numId w:val="2"/>
        </w:numPr>
        <w:spacing w:before="40" w:after="60"/>
      </w:pPr>
      <w:r>
        <w:rPr>
          <w:rFonts w:ascii="Arial" w:cs="Arial" w:eastAsia="Arial" w:hAnsi="Arial"/>
          <w:color w:val="1A1A2E"/>
          <w:sz w:val="22"/>
          <w:szCs w:val="22"/>
        </w:rPr>
        <w:t xml:space="preserve">OAuth2 providers: Google, Apple (Phase 2).</w:t>
      </w:r>
    </w:p>
    <w:p>
      <w:pPr>
        <w:pStyle w:val="ListParagraph"/>
        <w:numPr>
          <w:ilvl w:val="0"/>
          <w:numId w:val="2"/>
        </w:numPr>
        <w:spacing w:before="40" w:after="60"/>
      </w:pPr>
      <w:r>
        <w:rPr>
          <w:rFonts w:ascii="Arial" w:cs="Arial" w:eastAsia="Arial" w:hAnsi="Arial"/>
          <w:color w:val="1A1A2E"/>
          <w:sz w:val="22"/>
          <w:szCs w:val="22"/>
        </w:rPr>
        <w:t xml:space="preserve">Roles: USER, CLINICIAN, ADMIN; fine-grained resource-level permissions.</w:t>
      </w:r>
    </w:p>
    <w:p>
      <w:pPr>
        <w:pStyle w:val="ListParagraph"/>
        <w:numPr>
          <w:ilvl w:val="0"/>
          <w:numId w:val="2"/>
        </w:numPr>
        <w:spacing w:before="40" w:after="60"/>
      </w:pPr>
      <w:r>
        <w:rPr>
          <w:rFonts w:ascii="Arial" w:cs="Arial" w:eastAsia="Arial" w:hAnsi="Arial"/>
          <w:color w:val="1A1A2E"/>
          <w:sz w:val="22"/>
          <w:szCs w:val="22"/>
        </w:rPr>
        <w:t xml:space="preserve">Granular consent storage: separate consent records per data category (genetics, labs, wearables).</w:t>
      </w:r>
    </w:p>
    <w:p>
      <w:pPr>
        <w:spacing w:before="80" w:after="0"/>
      </w:pPr>
    </w:p>
    <w:p>
      <w:pPr>
        <w:pStyle w:val="Heading3"/>
        <w:spacing w:before="200" w:after="80"/>
      </w:pPr>
      <w:r>
        <w:rPr>
          <w:rFonts w:ascii="Arial" w:cs="Arial" w:eastAsia="Arial" w:hAnsi="Arial"/>
          <w:b/>
          <w:bCs/>
          <w:color w:val="0A8A8A"/>
          <w:sz w:val="22"/>
          <w:szCs w:val="22"/>
        </w:rPr>
        <w:t xml:space="preserve">Data Ingestion Service</w:t>
      </w:r>
    </w:p>
    <w:p>
      <w:pPr>
        <w:pStyle w:val="ListParagraph"/>
        <w:numPr>
          <w:ilvl w:val="0"/>
          <w:numId w:val="2"/>
        </w:numPr>
        <w:spacing w:before="40" w:after="60"/>
      </w:pPr>
      <w:r>
        <w:rPr>
          <w:rFonts w:ascii="Arial" w:cs="Arial" w:eastAsia="Arial" w:hAnsi="Arial"/>
          <w:color w:val="1A1A2E"/>
          <w:sz w:val="22"/>
          <w:szCs w:val="22"/>
        </w:rPr>
        <w:t xml:space="preserve">Genetic file ingestion: validates, parses, and extracts SNPs from 23andMe / AncestryDNA raw files.</w:t>
      </w:r>
    </w:p>
    <w:p>
      <w:pPr>
        <w:pStyle w:val="ListParagraph"/>
        <w:numPr>
          <w:ilvl w:val="0"/>
          <w:numId w:val="2"/>
        </w:numPr>
        <w:spacing w:before="40" w:after="60"/>
      </w:pPr>
      <w:r>
        <w:rPr>
          <w:rFonts w:ascii="Arial" w:cs="Arial" w:eastAsia="Arial" w:hAnsi="Arial"/>
          <w:color w:val="1A1A2E"/>
          <w:sz w:val="22"/>
          <w:szCs w:val="22"/>
        </w:rPr>
        <w:t xml:space="preserve">Wearable integration: OAuth2 flows for Fitbit/Apple Health; polling + webhook modes.</w:t>
      </w:r>
    </w:p>
    <w:p>
      <w:pPr>
        <w:pStyle w:val="ListParagraph"/>
        <w:numPr>
          <w:ilvl w:val="0"/>
          <w:numId w:val="2"/>
        </w:numPr>
        <w:spacing w:before="40" w:after="60"/>
      </w:pPr>
      <w:r>
        <w:rPr>
          <w:rFonts w:ascii="Arial" w:cs="Arial" w:eastAsia="Arial" w:hAnsi="Arial"/>
          <w:color w:val="1A1A2E"/>
          <w:sz w:val="22"/>
          <w:szCs w:val="22"/>
        </w:rPr>
        <w:t xml:space="preserve">Lab result ingestion: manual entry validation + future FHIR R4 document import.</w:t>
      </w:r>
    </w:p>
    <w:p>
      <w:pPr>
        <w:pStyle w:val="ListParagraph"/>
        <w:numPr>
          <w:ilvl w:val="0"/>
          <w:numId w:val="2"/>
        </w:numPr>
        <w:spacing w:before="40" w:after="60"/>
      </w:pPr>
      <w:r>
        <w:rPr>
          <w:rFonts w:ascii="Arial" w:cs="Arial" w:eastAsia="Arial" w:hAnsi="Arial"/>
          <w:color w:val="1A1A2E"/>
          <w:sz w:val="22"/>
          <w:szCs w:val="22"/>
        </w:rPr>
        <w:t xml:space="preserve">All uploads processed asynchronously via task queue (Celery + Redis); user notified via WebSocket.</w:t>
      </w:r>
    </w:p>
    <w:p>
      <w:pPr>
        <w:spacing w:before="80" w:after="0"/>
      </w:pPr>
    </w:p>
    <w:p>
      <w:pPr>
        <w:pStyle w:val="Heading3"/>
        <w:spacing w:before="200" w:after="80"/>
      </w:pPr>
      <w:r>
        <w:rPr>
          <w:rFonts w:ascii="Arial" w:cs="Arial" w:eastAsia="Arial" w:hAnsi="Arial"/>
          <w:b/>
          <w:bCs/>
          <w:color w:val="0A8A8A"/>
          <w:sz w:val="22"/>
          <w:szCs w:val="22"/>
        </w:rPr>
        <w:t xml:space="preserve">Profile &amp; Regimen Service</w:t>
      </w:r>
    </w:p>
    <w:p>
      <w:pPr>
        <w:pStyle w:val="ListParagraph"/>
        <w:numPr>
          <w:ilvl w:val="0"/>
          <w:numId w:val="2"/>
        </w:numPr>
        <w:spacing w:before="40" w:after="60"/>
      </w:pPr>
      <w:r>
        <w:rPr>
          <w:rFonts w:ascii="Arial" w:cs="Arial" w:eastAsia="Arial" w:hAnsi="Arial"/>
          <w:color w:val="1A1A2E"/>
          <w:sz w:val="22"/>
          <w:szCs w:val="22"/>
        </w:rPr>
        <w:t xml:space="preserve">Stores and versions user demographic profile, lifestyle parameters, and complete supplement/medication stack (name, dose, frequency, start date, source).</w:t>
      </w:r>
    </w:p>
    <w:p>
      <w:pPr>
        <w:pStyle w:val="ListParagraph"/>
        <w:numPr>
          <w:ilvl w:val="0"/>
          <w:numId w:val="2"/>
        </w:numPr>
        <w:spacing w:before="40" w:after="60"/>
      </w:pPr>
      <w:r>
        <w:rPr>
          <w:rFonts w:ascii="Arial" w:cs="Arial" w:eastAsia="Arial" w:hAnsi="Arial"/>
          <w:color w:val="1A1A2E"/>
          <w:sz w:val="22"/>
          <w:szCs w:val="22"/>
        </w:rPr>
        <w:t xml:space="preserve">Regimen versioning: every change creates a snapshot — enables before/after prediction comparisons.</w:t>
      </w:r>
    </w:p>
    <w:p>
      <w:pPr>
        <w:pStyle w:val="ListParagraph"/>
        <w:numPr>
          <w:ilvl w:val="0"/>
          <w:numId w:val="2"/>
        </w:numPr>
        <w:spacing w:before="40" w:after="60"/>
      </w:pPr>
      <w:r>
        <w:rPr>
          <w:rFonts w:ascii="Arial" w:cs="Arial" w:eastAsia="Arial" w:hAnsi="Arial"/>
          <w:color w:val="1A1A2E"/>
          <w:sz w:val="22"/>
          <w:szCs w:val="22"/>
        </w:rPr>
        <w:t xml:space="preserve">Exposes REST + GraphQL endpoints for the frontend and orchestrator.</w:t>
      </w:r>
    </w:p>
    <w:p>
      <w:pPr>
        <w:spacing w:before="80" w:after="0"/>
      </w:pPr>
    </w:p>
    <w:p>
      <w:pPr>
        <w:pStyle w:val="Heading3"/>
        <w:spacing w:before="200" w:after="80"/>
      </w:pPr>
      <w:r>
        <w:rPr>
          <w:rFonts w:ascii="Arial" w:cs="Arial" w:eastAsia="Arial" w:hAnsi="Arial"/>
          <w:b/>
          <w:bCs/>
          <w:color w:val="0A8A8A"/>
          <w:sz w:val="22"/>
          <w:szCs w:val="22"/>
        </w:rPr>
        <w:t xml:space="preserve">Risk &amp; Simulation Orchestrator</w:t>
      </w:r>
    </w:p>
    <w:p>
      <w:pPr>
        <w:pStyle w:val="ListParagraph"/>
        <w:numPr>
          <w:ilvl w:val="0"/>
          <w:numId w:val="2"/>
        </w:numPr>
        <w:spacing w:before="40" w:after="60"/>
      </w:pPr>
      <w:r>
        <w:rPr>
          <w:rFonts w:ascii="Arial" w:cs="Arial" w:eastAsia="Arial" w:hAnsi="Arial"/>
          <w:color w:val="1A1A2E"/>
          <w:sz w:val="22"/>
          <w:szCs w:val="22"/>
        </w:rPr>
        <w:t xml:space="preserve">The central conductor that calls all AI microservices in the correct order.</w:t>
      </w:r>
    </w:p>
    <w:p>
      <w:pPr>
        <w:pStyle w:val="ListParagraph"/>
        <w:numPr>
          <w:ilvl w:val="0"/>
          <w:numId w:val="2"/>
        </w:numPr>
        <w:spacing w:before="40" w:after="60"/>
      </w:pPr>
      <w:r>
        <w:rPr>
          <w:rFonts w:ascii="Arial" w:cs="Arial" w:eastAsia="Arial" w:hAnsi="Arial"/>
          <w:color w:val="1A1A2E"/>
          <w:sz w:val="22"/>
          <w:szCs w:val="22"/>
        </w:rPr>
        <w:t xml:space="preserve">Flow: Feature Builder -&gt; Toxicity Predictor -&gt; Digital Twin -&gt; RL Optimizer -&gt; Explainability Service.</w:t>
      </w:r>
    </w:p>
    <w:p>
      <w:pPr>
        <w:pStyle w:val="ListParagraph"/>
        <w:numPr>
          <w:ilvl w:val="0"/>
          <w:numId w:val="2"/>
        </w:numPr>
        <w:spacing w:before="40" w:after="60"/>
      </w:pPr>
      <w:r>
        <w:rPr>
          <w:rFonts w:ascii="Arial" w:cs="Arial" w:eastAsia="Arial" w:hAnsi="Arial"/>
          <w:color w:val="1A1A2E"/>
          <w:sz w:val="22"/>
          <w:szCs w:val="22"/>
        </w:rPr>
        <w:t xml:space="preserve">Handles retry logic, timeout fallbacks, and partial-result degradation (returns best available if a service is slow).</w:t>
      </w:r>
    </w:p>
    <w:p>
      <w:pPr>
        <w:pStyle w:val="ListParagraph"/>
        <w:numPr>
          <w:ilvl w:val="0"/>
          <w:numId w:val="2"/>
        </w:numPr>
        <w:spacing w:before="40" w:after="60"/>
      </w:pPr>
      <w:r>
        <w:rPr>
          <w:rFonts w:ascii="Arial" w:cs="Arial" w:eastAsia="Arial" w:hAnsi="Arial"/>
          <w:color w:val="1A1A2E"/>
          <w:sz w:val="22"/>
          <w:szCs w:val="22"/>
        </w:rPr>
        <w:t xml:space="preserve">Publishes prediction results to the event store for audit and model improvement.</w:t>
      </w:r>
    </w:p>
    <w:p>
      <w:pPr>
        <w:spacing w:before="80" w:after="0"/>
      </w:pPr>
    </w:p>
    <w:p>
      <w:pPr>
        <w:pStyle w:val="Heading3"/>
        <w:spacing w:before="200" w:after="80"/>
      </w:pPr>
      <w:r>
        <w:rPr>
          <w:rFonts w:ascii="Arial" w:cs="Arial" w:eastAsia="Arial" w:hAnsi="Arial"/>
          <w:b/>
          <w:bCs/>
          <w:color w:val="0A8A8A"/>
          <w:sz w:val="22"/>
          <w:szCs w:val="22"/>
        </w:rPr>
        <w:t xml:space="preserve">Recommendation Engine</w:t>
      </w:r>
    </w:p>
    <w:p>
      <w:pPr>
        <w:pStyle w:val="ListParagraph"/>
        <w:numPr>
          <w:ilvl w:val="0"/>
          <w:numId w:val="2"/>
        </w:numPr>
        <w:spacing w:before="40" w:after="60"/>
      </w:pPr>
      <w:r>
        <w:rPr>
          <w:rFonts w:ascii="Arial" w:cs="Arial" w:eastAsia="Arial" w:hAnsi="Arial"/>
          <w:color w:val="1A1A2E"/>
          <w:sz w:val="22"/>
          <w:szCs w:val="22"/>
        </w:rPr>
        <w:t xml:space="preserve">Applies business rules on top of AI outputs: user preference constraints, formulary availability, budget limits.</w:t>
      </w:r>
    </w:p>
    <w:p>
      <w:pPr>
        <w:pStyle w:val="ListParagraph"/>
        <w:numPr>
          <w:ilvl w:val="0"/>
          <w:numId w:val="2"/>
        </w:numPr>
        <w:spacing w:before="40" w:after="60"/>
      </w:pPr>
      <w:r>
        <w:rPr>
          <w:rFonts w:ascii="Arial" w:cs="Arial" w:eastAsia="Arial" w:hAnsi="Arial"/>
          <w:color w:val="1A1A2E"/>
          <w:sz w:val="22"/>
          <w:szCs w:val="22"/>
        </w:rPr>
        <w:t xml:space="preserve">Ranks candidate plans by net expected healthspan gain minus user friction cost.</w:t>
      </w:r>
    </w:p>
    <w:p>
      <w:pPr>
        <w:pStyle w:val="ListParagraph"/>
        <w:numPr>
          <w:ilvl w:val="0"/>
          <w:numId w:val="2"/>
        </w:numPr>
        <w:spacing w:before="40" w:after="60"/>
      </w:pPr>
      <w:r>
        <w:rPr>
          <w:rFonts w:ascii="Arial" w:cs="Arial" w:eastAsia="Arial" w:hAnsi="Arial"/>
          <w:color w:val="1A1A2E"/>
          <w:sz w:val="22"/>
          <w:szCs w:val="22"/>
        </w:rPr>
        <w:t xml:space="preserve">Links each recommendation to PharmGKB/CPIC guideline IDs or ToxCast assay references.</w:t>
      </w:r>
    </w:p>
    <w:p>
      <w:pPr>
        <w:spacing w:before="80" w:after="0"/>
      </w:pPr>
    </w:p>
    <w:p>
      <w:pPr>
        <w:pStyle w:val="Heading3"/>
        <w:spacing w:before="200" w:after="80"/>
      </w:pPr>
      <w:r>
        <w:rPr>
          <w:rFonts w:ascii="Arial" w:cs="Arial" w:eastAsia="Arial" w:hAnsi="Arial"/>
          <w:b/>
          <w:bCs/>
          <w:color w:val="0A8A8A"/>
          <w:sz w:val="22"/>
          <w:szCs w:val="22"/>
        </w:rPr>
        <w:t xml:space="preserve">Experiment &amp; Feedback Service</w:t>
      </w:r>
    </w:p>
    <w:p>
      <w:pPr>
        <w:pStyle w:val="ListParagraph"/>
        <w:numPr>
          <w:ilvl w:val="0"/>
          <w:numId w:val="2"/>
        </w:numPr>
        <w:spacing w:before="40" w:after="60"/>
      </w:pPr>
      <w:r>
        <w:rPr>
          <w:rFonts w:ascii="Arial" w:cs="Arial" w:eastAsia="Arial" w:hAnsi="Arial"/>
          <w:color w:val="1A1A2E"/>
          <w:sz w:val="22"/>
          <w:szCs w:val="22"/>
        </w:rPr>
        <w:t xml:space="preserve">Stores user-reported adherence events (adopted/skipped per recommendation).</w:t>
      </w:r>
    </w:p>
    <w:p>
      <w:pPr>
        <w:pStyle w:val="ListParagraph"/>
        <w:numPr>
          <w:ilvl w:val="0"/>
          <w:numId w:val="2"/>
        </w:numPr>
        <w:spacing w:before="40" w:after="60"/>
      </w:pPr>
      <w:r>
        <w:rPr>
          <w:rFonts w:ascii="Arial" w:cs="Arial" w:eastAsia="Arial" w:hAnsi="Arial"/>
          <w:color w:val="1A1A2E"/>
          <w:sz w:val="22"/>
          <w:szCs w:val="22"/>
        </w:rPr>
        <w:t xml:space="preserve">Compares predicted lab values against actual lab values logged by user; computes prediction error.</w:t>
      </w:r>
    </w:p>
    <w:p>
      <w:pPr>
        <w:pStyle w:val="ListParagraph"/>
        <w:numPr>
          <w:ilvl w:val="0"/>
          <w:numId w:val="2"/>
        </w:numPr>
        <w:spacing w:before="40" w:after="60"/>
      </w:pPr>
      <w:r>
        <w:rPr>
          <w:rFonts w:ascii="Arial" w:cs="Arial" w:eastAsia="Arial" w:hAnsi="Arial"/>
          <w:color w:val="1A1A2E"/>
          <w:sz w:val="22"/>
          <w:szCs w:val="22"/>
        </w:rPr>
        <w:t xml:space="preserve">Aggregates de-identified outcome data for model retraining pipeline.</w:t>
      </w:r>
    </w:p>
    <w:p>
      <w:pPr>
        <w:pStyle w:val="ListParagraph"/>
        <w:numPr>
          <w:ilvl w:val="0"/>
          <w:numId w:val="2"/>
        </w:numPr>
        <w:spacing w:before="40" w:after="60"/>
      </w:pPr>
      <w:r>
        <w:rPr>
          <w:rFonts w:ascii="Arial" w:cs="Arial" w:eastAsia="Arial" w:hAnsi="Arial"/>
          <w:color w:val="1A1A2E"/>
          <w:sz w:val="22"/>
          <w:szCs w:val="22"/>
        </w:rPr>
        <w:t xml:space="preserve">Triggers re-analysis when significant new data arrives (e.g., new lab result uploaded).</w:t>
      </w:r>
    </w:p>
    <w:p>
      <w:pPr>
        <w:spacing w:before="120" w:after="0"/>
      </w:pPr>
    </w:p>
    <w:p>
      <w:pPr>
        <w:pStyle w:val="Heading2"/>
        <w:spacing w:before="320" w:after="120"/>
      </w:pPr>
      <w:r>
        <w:rPr>
          <w:rFonts w:ascii="Arial" w:cs="Arial" w:eastAsia="Arial" w:hAnsi="Arial"/>
          <w:b/>
          <w:bCs/>
          <w:color w:val="16213E"/>
          <w:sz w:val="26"/>
          <w:szCs w:val="26"/>
        </w:rPr>
        <w:t xml:space="preserve">7.3 Intelligence Layer (AI/ML Services)</w:t>
      </w:r>
    </w:p>
    <w:p>
      <w:pPr>
        <w:pStyle w:val="Heading3"/>
        <w:spacing w:before="200" w:after="80"/>
      </w:pPr>
      <w:r>
        <w:rPr>
          <w:rFonts w:ascii="Arial" w:cs="Arial" w:eastAsia="Arial" w:hAnsi="Arial"/>
          <w:b/>
          <w:bCs/>
          <w:color w:val="0A8A8A"/>
          <w:sz w:val="22"/>
          <w:szCs w:val="22"/>
        </w:rPr>
        <w:t xml:space="preserve">7.3.1 Feature Builder Service</w:t>
      </w:r>
    </w:p>
    <w:p>
      <w:pPr>
        <w:spacing w:before="60" w:after="100"/>
      </w:pPr>
      <w:r>
        <w:rPr>
          <w:rFonts w:ascii="Arial" w:cs="Arial" w:eastAsia="Arial" w:hAnsi="Arial"/>
          <w:color w:val="1A1A2E"/>
          <w:sz w:val="22"/>
          <w:szCs w:val="22"/>
        </w:rPr>
        <w:t xml:space="preserve">Transforms raw multi-modal user data into a unified feature vector for downstream AI models.</w:t>
      </w:r>
    </w:p>
    <w:p>
      <w:pPr>
        <w:pStyle w:val="ListParagraph"/>
        <w:numPr>
          <w:ilvl w:val="0"/>
          <w:numId w:val="2"/>
        </w:numPr>
        <w:spacing w:before="40" w:after="60"/>
      </w:pPr>
      <w:r>
        <w:rPr>
          <w:rFonts w:ascii="Arial" w:cs="Arial" w:eastAsia="Arial" w:hAnsi="Arial"/>
          <w:color w:val="1A1A2E"/>
          <w:sz w:val="22"/>
          <w:szCs w:val="22"/>
        </w:rPr>
        <w:t xml:space="preserve">Genotype features: CYP450 variant encodings (CYP2D6, CYP2C19, CYP3A4/5, CYP1A2), transport protein variants (SLCO1B1, ABCB1), metabolizer class labels (poor/intermediate/normal/ultra-rapid), HLA alleles for hypersensitivity risk.</w:t>
      </w:r>
    </w:p>
    <w:p>
      <w:pPr>
        <w:pStyle w:val="ListParagraph"/>
        <w:numPr>
          <w:ilvl w:val="0"/>
          <w:numId w:val="2"/>
        </w:numPr>
        <w:spacing w:before="40" w:after="60"/>
      </w:pPr>
      <w:r>
        <w:rPr>
          <w:rFonts w:ascii="Arial" w:cs="Arial" w:eastAsia="Arial" w:hAnsi="Arial"/>
          <w:color w:val="1A1A2E"/>
          <w:sz w:val="22"/>
          <w:szCs w:val="22"/>
        </w:rPr>
        <w:t xml:space="preserve">Regimen features: compound SMILES strings, molecular fingerprints (ECFP4), dose-normalized embeddings, frequency features, drug-drug interaction flags from DrugBank.</w:t>
      </w:r>
    </w:p>
    <w:p>
      <w:pPr>
        <w:pStyle w:val="ListParagraph"/>
        <w:numPr>
          <w:ilvl w:val="0"/>
          <w:numId w:val="2"/>
        </w:numPr>
        <w:spacing w:before="40" w:after="60"/>
      </w:pPr>
      <w:r>
        <w:rPr>
          <w:rFonts w:ascii="Arial" w:cs="Arial" w:eastAsia="Arial" w:hAnsi="Arial"/>
          <w:color w:val="1A1A2E"/>
          <w:sz w:val="22"/>
          <w:szCs w:val="22"/>
        </w:rPr>
        <w:t xml:space="preserve">Lifestyle features: normalized sleep quality index, stress score, activity METs, dietary glucose/alcohol/caffeine load.</w:t>
      </w:r>
    </w:p>
    <w:p>
      <w:pPr>
        <w:pStyle w:val="ListParagraph"/>
        <w:numPr>
          <w:ilvl w:val="0"/>
          <w:numId w:val="2"/>
        </w:numPr>
        <w:spacing w:before="40" w:after="60"/>
      </w:pPr>
      <w:r>
        <w:rPr>
          <w:rFonts w:ascii="Arial" w:cs="Arial" w:eastAsia="Arial" w:hAnsi="Arial"/>
          <w:color w:val="1A1A2E"/>
          <w:sz w:val="22"/>
          <w:szCs w:val="22"/>
        </w:rPr>
        <w:t xml:space="preserve">Lab features: time-series of organ markers (AST, ALT, creatinine, eGFR, HbA1c) with delta features (rate of change).</w:t>
      </w:r>
    </w:p>
    <w:p>
      <w:pPr>
        <w:spacing w:before="80" w:after="0"/>
      </w:pPr>
    </w:p>
    <w:p>
      <w:pPr>
        <w:pStyle w:val="Heading3"/>
        <w:spacing w:before="200" w:after="80"/>
      </w:pPr>
      <w:r>
        <w:rPr>
          <w:rFonts w:ascii="Arial" w:cs="Arial" w:eastAsia="Arial" w:hAnsi="Arial"/>
          <w:b/>
          <w:bCs/>
          <w:color w:val="0A8A8A"/>
          <w:sz w:val="22"/>
          <w:szCs w:val="22"/>
        </w:rPr>
        <w:t xml:space="preserve">7.3.2 Toxicity Prediction Service</w:t>
      </w:r>
    </w:p>
    <w:p>
      <w:pPr>
        <w:pStyle w:val="ListParagraph"/>
        <w:numPr>
          <w:ilvl w:val="0"/>
          <w:numId w:val="2"/>
        </w:numPr>
        <w:spacing w:before="40" w:after="60"/>
      </w:pPr>
      <w:r>
        <w:rPr>
          <w:rFonts w:ascii="Arial" w:cs="Arial" w:eastAsia="Arial" w:hAnsi="Arial"/>
          <w:color w:val="1A1A2E"/>
          <w:sz w:val="22"/>
          <w:szCs w:val="22"/>
        </w:rPr>
        <w:t xml:space="preserve">Model: Graph Neural Network (GNN) — models the bipartite interaction graph of (user genes, pathways) x (compounds, metabolites).</w:t>
      </w:r>
    </w:p>
    <w:p>
      <w:pPr>
        <w:pStyle w:val="ListParagraph"/>
        <w:numPr>
          <w:ilvl w:val="0"/>
          <w:numId w:val="2"/>
        </w:numPr>
        <w:spacing w:before="40" w:after="60"/>
      </w:pPr>
      <w:r>
        <w:rPr>
          <w:rFonts w:ascii="Arial" w:cs="Arial" w:eastAsia="Arial" w:hAnsi="Arial"/>
          <w:color w:val="1A1A2E"/>
          <w:sz w:val="22"/>
          <w:szCs w:val="22"/>
        </w:rPr>
        <w:t xml:space="preserve">Supplementary model: Deep Molecular Property Neural Network (DMPNN / ChemProp) for compound-level toxicity prediction from molecular structure.</w:t>
      </w:r>
    </w:p>
    <w:p>
      <w:pPr>
        <w:pStyle w:val="ListParagraph"/>
        <w:numPr>
          <w:ilvl w:val="0"/>
          <w:numId w:val="2"/>
        </w:numPr>
        <w:spacing w:before="40" w:after="60"/>
      </w:pPr>
      <w:r>
        <w:rPr>
          <w:rFonts w:ascii="Arial" w:cs="Arial" w:eastAsia="Arial" w:hAnsi="Arial"/>
          <w:color w:val="1A1A2E"/>
          <w:sz w:val="22"/>
          <w:szCs w:val="22"/>
        </w:rPr>
        <w:t xml:space="preserve">Outputs: per-organ toxicity probability scores (hepatotoxicity, nephrotoxicity, cardiotoxicity), severity estimates, and time-to-concern estimates.</w:t>
      </w:r>
    </w:p>
    <w:p>
      <w:pPr>
        <w:pStyle w:val="ListParagraph"/>
        <w:numPr>
          <w:ilvl w:val="0"/>
          <w:numId w:val="2"/>
        </w:numPr>
        <w:spacing w:before="40" w:after="60"/>
      </w:pPr>
      <w:r>
        <w:rPr>
          <w:rFonts w:ascii="Arial" w:cs="Arial" w:eastAsia="Arial" w:hAnsi="Arial"/>
          <w:color w:val="1A1A2E"/>
          <w:sz w:val="22"/>
          <w:szCs w:val="22"/>
        </w:rPr>
        <w:t xml:space="preserve">Batch vs. real-time: runs in real-time (&lt;3s) for dashboard updates; full re-run triggered on regimen changes.</w:t>
      </w:r>
    </w:p>
    <w:p>
      <w:pPr>
        <w:spacing w:before="80" w:after="0"/>
      </w:pPr>
    </w:p>
    <w:p>
      <w:pPr>
        <w:pStyle w:val="Heading3"/>
        <w:spacing w:before="200" w:after="80"/>
      </w:pPr>
      <w:r>
        <w:rPr>
          <w:rFonts w:ascii="Arial" w:cs="Arial" w:eastAsia="Arial" w:hAnsi="Arial"/>
          <w:b/>
          <w:bCs/>
          <w:color w:val="0A8A8A"/>
          <w:sz w:val="22"/>
          <w:szCs w:val="22"/>
        </w:rPr>
        <w:t xml:space="preserve">7.3.3 Trajectory Simulation / Digital Twin Service</w:t>
      </w:r>
    </w:p>
    <w:p>
      <w:pPr>
        <w:pStyle w:val="ListParagraph"/>
        <w:numPr>
          <w:ilvl w:val="0"/>
          <w:numId w:val="2"/>
        </w:numPr>
        <w:spacing w:before="40" w:after="60"/>
      </w:pPr>
      <w:r>
        <w:rPr>
          <w:rFonts w:ascii="Arial" w:cs="Arial" w:eastAsia="Arial" w:hAnsi="Arial"/>
          <w:color w:val="1A1A2E"/>
          <w:sz w:val="22"/>
          <w:szCs w:val="22"/>
        </w:rPr>
        <w:t xml:space="preserve">Model: Temporal RNN / Transformer-based sequence model trained on longitudinal clinical data.</w:t>
      </w:r>
    </w:p>
    <w:p>
      <w:pPr>
        <w:pStyle w:val="ListParagraph"/>
        <w:numPr>
          <w:ilvl w:val="0"/>
          <w:numId w:val="2"/>
        </w:numPr>
        <w:spacing w:before="40" w:after="60"/>
      </w:pPr>
      <w:r>
        <w:rPr>
          <w:rFonts w:ascii="Arial" w:cs="Arial" w:eastAsia="Arial" w:hAnsi="Arial"/>
          <w:color w:val="1A1A2E"/>
          <w:sz w:val="22"/>
          <w:szCs w:val="22"/>
        </w:rPr>
        <w:t xml:space="preserve">Inputs: baseline organ markers, toxicity scores, lifestyle features, demographics.</w:t>
      </w:r>
    </w:p>
    <w:p>
      <w:pPr>
        <w:pStyle w:val="ListParagraph"/>
        <w:numPr>
          <w:ilvl w:val="0"/>
          <w:numId w:val="2"/>
        </w:numPr>
        <w:spacing w:before="40" w:after="60"/>
      </w:pPr>
      <w:r>
        <w:rPr>
          <w:rFonts w:ascii="Arial" w:cs="Arial" w:eastAsia="Arial" w:hAnsi="Arial"/>
          <w:color w:val="1A1A2E"/>
          <w:sz w:val="22"/>
          <w:szCs w:val="22"/>
        </w:rPr>
        <w:t xml:space="preserve">Outputs: year-by-year projections of liver function index, eGFR (kidney), cardiac risk composite, and biological age (using multi-clock ensemble: Horvath, PhenoAge, GrimAge clocks adapted for available features).</w:t>
      </w:r>
    </w:p>
    <w:p>
      <w:pPr>
        <w:pStyle w:val="ListParagraph"/>
        <w:numPr>
          <w:ilvl w:val="0"/>
          <w:numId w:val="2"/>
        </w:numPr>
        <w:spacing w:before="40" w:after="60"/>
      </w:pPr>
      <w:r>
        <w:rPr>
          <w:rFonts w:ascii="Arial" w:cs="Arial" w:eastAsia="Arial" w:hAnsi="Arial"/>
          <w:color w:val="1A1A2E"/>
          <w:sz w:val="22"/>
          <w:szCs w:val="22"/>
        </w:rPr>
        <w:t xml:space="preserve">Uncertainty quantification: Monte Carlo Dropout to produce confidence intervals on trajectories.</w:t>
      </w:r>
    </w:p>
    <w:p>
      <w:pPr>
        <w:pStyle w:val="ListParagraph"/>
        <w:numPr>
          <w:ilvl w:val="0"/>
          <w:numId w:val="2"/>
        </w:numPr>
        <w:spacing w:before="40" w:after="60"/>
      </w:pPr>
      <w:r>
        <w:rPr>
          <w:rFonts w:ascii="Arial" w:cs="Arial" w:eastAsia="Arial" w:hAnsi="Arial"/>
          <w:color w:val="1A1A2E"/>
          <w:sz w:val="22"/>
          <w:szCs w:val="22"/>
        </w:rPr>
        <w:t xml:space="preserve">Update frequency: trajectories are re-simulated whenever a user updates their stack, logs new labs, or wearable data shows a significant shift.</w:t>
      </w:r>
    </w:p>
    <w:p>
      <w:pPr>
        <w:spacing w:before="80" w:after="0"/>
      </w:pPr>
    </w:p>
    <w:p>
      <w:pPr>
        <w:pStyle w:val="Heading3"/>
        <w:spacing w:before="200" w:after="80"/>
      </w:pPr>
      <w:r>
        <w:rPr>
          <w:rFonts w:ascii="Arial" w:cs="Arial" w:eastAsia="Arial" w:hAnsi="Arial"/>
          <w:b/>
          <w:bCs/>
          <w:color w:val="0A8A8A"/>
          <w:sz w:val="22"/>
          <w:szCs w:val="22"/>
        </w:rPr>
        <w:t xml:space="preserve">7.3.4 RL Optimization Service</w:t>
      </w:r>
    </w:p>
    <w:p>
      <w:pPr>
        <w:pStyle w:val="ListParagraph"/>
        <w:numPr>
          <w:ilvl w:val="0"/>
          <w:numId w:val="2"/>
        </w:numPr>
        <w:spacing w:before="40" w:after="60"/>
      </w:pPr>
      <w:r>
        <w:rPr>
          <w:rFonts w:ascii="Arial" w:cs="Arial" w:eastAsia="Arial" w:hAnsi="Arial"/>
          <w:color w:val="1A1A2E"/>
          <w:sz w:val="22"/>
          <w:szCs w:val="22"/>
        </w:rPr>
        <w:t xml:space="preserve">Framework: Proximal Policy Optimization (PPO) or Soft Actor-Critic (SAC) trained in a simulated environment built from the toxicity + trajectory models.</w:t>
      </w:r>
    </w:p>
    <w:p>
      <w:pPr>
        <w:pStyle w:val="ListParagraph"/>
        <w:numPr>
          <w:ilvl w:val="0"/>
          <w:numId w:val="2"/>
        </w:numPr>
        <w:spacing w:before="40" w:after="60"/>
      </w:pPr>
      <w:r>
        <w:rPr>
          <w:rFonts w:ascii="Arial" w:cs="Arial" w:eastAsia="Arial" w:hAnsi="Arial"/>
          <w:color w:val="1A1A2E"/>
          <w:sz w:val="22"/>
          <w:szCs w:val="22"/>
        </w:rPr>
        <w:t xml:space="preserve">State space: current user feature vector + current organ trajectories.</w:t>
      </w:r>
    </w:p>
    <w:p>
      <w:pPr>
        <w:pStyle w:val="ListParagraph"/>
        <w:numPr>
          <w:ilvl w:val="0"/>
          <w:numId w:val="2"/>
        </w:numPr>
        <w:spacing w:before="40" w:after="60"/>
      </w:pPr>
      <w:r>
        <w:rPr>
          <w:rFonts w:ascii="Arial" w:cs="Arial" w:eastAsia="Arial" w:hAnsi="Arial"/>
          <w:color w:val="1A1A2E"/>
          <w:sz w:val="22"/>
          <w:szCs w:val="22"/>
        </w:rPr>
        <w:t xml:space="preserve">Action space: add/remove/substitute/dose-change any compound in the formulary; behavioral changes (dietary targets).</w:t>
      </w:r>
    </w:p>
    <w:p>
      <w:pPr>
        <w:pStyle w:val="ListParagraph"/>
        <w:numPr>
          <w:ilvl w:val="0"/>
          <w:numId w:val="2"/>
        </w:numPr>
        <w:spacing w:before="40" w:after="60"/>
      </w:pPr>
      <w:r>
        <w:rPr>
          <w:rFonts w:ascii="Arial" w:cs="Arial" w:eastAsia="Arial" w:hAnsi="Arial"/>
          <w:color w:val="1A1A2E"/>
          <w:sz w:val="22"/>
          <w:szCs w:val="22"/>
        </w:rPr>
        <w:t xml:space="preserve">Reward function: healthspan improvement (years of healthy organ function gained) minus regimen disruption cost (user friction, cost).</w:t>
      </w:r>
    </w:p>
    <w:p>
      <w:pPr>
        <w:pStyle w:val="ListParagraph"/>
        <w:numPr>
          <w:ilvl w:val="0"/>
          <w:numId w:val="2"/>
        </w:numPr>
        <w:spacing w:before="40" w:after="60"/>
      </w:pPr>
      <w:r>
        <w:rPr>
          <w:rFonts w:ascii="Arial" w:cs="Arial" w:eastAsia="Arial" w:hAnsi="Arial"/>
          <w:color w:val="1A1A2E"/>
          <w:sz w:val="22"/>
          <w:szCs w:val="22"/>
        </w:rPr>
        <w:t xml:space="preserve">Constraint handling: hard constraints (no drug contraindicated for user's genotype or conditions) enforced by action masking.</w:t>
      </w:r>
    </w:p>
    <w:p>
      <w:pPr>
        <w:pStyle w:val="ListParagraph"/>
        <w:numPr>
          <w:ilvl w:val="0"/>
          <w:numId w:val="2"/>
        </w:numPr>
        <w:spacing w:before="40" w:after="60"/>
      </w:pPr>
      <w:r>
        <w:rPr>
          <w:rFonts w:ascii="Arial" w:cs="Arial" w:eastAsia="Arial" w:hAnsi="Arial"/>
          <w:color w:val="1A1A2E"/>
          <w:sz w:val="22"/>
          <w:szCs w:val="22"/>
        </w:rPr>
        <w:t xml:space="preserve">Output: top-N ranked regimen modification plans with projected delta in organ trajectories.</w:t>
      </w:r>
    </w:p>
    <w:p>
      <w:pPr>
        <w:spacing w:before="80" w:after="0"/>
      </w:pPr>
    </w:p>
    <w:p>
      <w:pPr>
        <w:pStyle w:val="Heading3"/>
        <w:spacing w:before="200" w:after="80"/>
      </w:pPr>
      <w:r>
        <w:rPr>
          <w:rFonts w:ascii="Arial" w:cs="Arial" w:eastAsia="Arial" w:hAnsi="Arial"/>
          <w:b/>
          <w:bCs/>
          <w:color w:val="0A8A8A"/>
          <w:sz w:val="22"/>
          <w:szCs w:val="22"/>
        </w:rPr>
        <w:t xml:space="preserve">7.3.5 Explainability Service</w:t>
      </w:r>
    </w:p>
    <w:p>
      <w:pPr>
        <w:pStyle w:val="ListParagraph"/>
        <w:numPr>
          <w:ilvl w:val="0"/>
          <w:numId w:val="2"/>
        </w:numPr>
        <w:spacing w:before="40" w:after="60"/>
      </w:pPr>
      <w:r>
        <w:rPr>
          <w:rFonts w:ascii="Arial" w:cs="Arial" w:eastAsia="Arial" w:hAnsi="Arial"/>
          <w:color w:val="1A1A2E"/>
          <w:sz w:val="22"/>
          <w:szCs w:val="22"/>
        </w:rPr>
        <w:t xml:space="preserve">For GNN predictions: graph attention weights highlighting which gene-compound edges drove the risk score.</w:t>
      </w:r>
    </w:p>
    <w:p>
      <w:pPr>
        <w:pStyle w:val="ListParagraph"/>
        <w:numPr>
          <w:ilvl w:val="0"/>
          <w:numId w:val="2"/>
        </w:numPr>
        <w:spacing w:before="40" w:after="60"/>
      </w:pPr>
      <w:r>
        <w:rPr>
          <w:rFonts w:ascii="Arial" w:cs="Arial" w:eastAsia="Arial" w:hAnsi="Arial"/>
          <w:color w:val="1A1A2E"/>
          <w:sz w:val="22"/>
          <w:szCs w:val="22"/>
        </w:rPr>
        <w:t xml:space="preserve">For trajectory predictions: SHAP values over input features at each time step.</w:t>
      </w:r>
    </w:p>
    <w:p>
      <w:pPr>
        <w:pStyle w:val="ListParagraph"/>
        <w:numPr>
          <w:ilvl w:val="0"/>
          <w:numId w:val="2"/>
        </w:numPr>
        <w:spacing w:before="40" w:after="60"/>
      </w:pPr>
      <w:r>
        <w:rPr>
          <w:rFonts w:ascii="Arial" w:cs="Arial" w:eastAsia="Arial" w:hAnsi="Arial"/>
          <w:color w:val="1A1A2E"/>
          <w:sz w:val="22"/>
          <w:szCs w:val="22"/>
        </w:rPr>
        <w:t xml:space="preserve">For recommendations: rule traces linking recommendation to specific guideline (e.g., 'CPIC CYP2D6 Poor Metabolizer Guideline for Codeine').</w:t>
      </w:r>
    </w:p>
    <w:p>
      <w:pPr>
        <w:pStyle w:val="ListParagraph"/>
        <w:numPr>
          <w:ilvl w:val="0"/>
          <w:numId w:val="2"/>
        </w:numPr>
        <w:spacing w:before="40" w:after="60"/>
      </w:pPr>
      <w:r>
        <w:rPr>
          <w:rFonts w:ascii="Arial" w:cs="Arial" w:eastAsia="Arial" w:hAnsi="Arial"/>
          <w:color w:val="1A1A2E"/>
          <w:sz w:val="22"/>
          <w:szCs w:val="22"/>
        </w:rPr>
        <w:t xml:space="preserve">All explanation artifacts stored per-prediction in the feature store for audit and clinician review.</w:t>
      </w:r>
    </w:p>
    <w:p>
      <w:pPr>
        <w:spacing w:before="120" w:after="0"/>
      </w:pPr>
    </w:p>
    <w:p>
      <w:pPr>
        <w:pStyle w:val="Heading2"/>
        <w:spacing w:before="320" w:after="120"/>
      </w:pPr>
      <w:r>
        <w:rPr>
          <w:rFonts w:ascii="Arial" w:cs="Arial" w:eastAsia="Arial" w:hAnsi="Arial"/>
          <w:b/>
          <w:bCs/>
          <w:color w:val="16213E"/>
          <w:sz w:val="26"/>
          <w:szCs w:val="26"/>
        </w:rPr>
        <w:t xml:space="preserve">7.4 Offline Training Pipelines</w:t>
      </w:r>
    </w:p>
    <w:p>
      <w:pPr>
        <w:pStyle w:val="Heading3"/>
        <w:spacing w:before="200" w:after="80"/>
      </w:pPr>
      <w:r>
        <w:rPr>
          <w:rFonts w:ascii="Arial" w:cs="Arial" w:eastAsia="Arial" w:hAnsi="Arial"/>
          <w:b/>
          <w:bCs/>
          <w:color w:val="0A8A8A"/>
          <w:sz w:val="22"/>
          <w:szCs w:val="22"/>
        </w:rPr>
        <w:t xml:space="preserve">Toxicity Model Training</w:t>
      </w:r>
    </w:p>
    <w:p>
      <w:pPr>
        <w:pStyle w:val="ListParagraph"/>
        <w:numPr>
          <w:ilvl w:val="0"/>
          <w:numId w:val="2"/>
        </w:numPr>
        <w:spacing w:before="40" w:after="60"/>
      </w:pPr>
      <w:r>
        <w:rPr>
          <w:rFonts w:ascii="Arial" w:cs="Arial" w:eastAsia="Arial" w:hAnsi="Arial"/>
          <w:color w:val="1A1A2E"/>
          <w:sz w:val="22"/>
          <w:szCs w:val="22"/>
        </w:rPr>
        <w:t xml:space="preserve">Inputs: ToxCast/Tox21 assay data, FDA FAERS signal extraction, ChEMBL bioactivity data.</w:t>
      </w:r>
    </w:p>
    <w:p>
      <w:pPr>
        <w:pStyle w:val="ListParagraph"/>
        <w:numPr>
          <w:ilvl w:val="0"/>
          <w:numId w:val="2"/>
        </w:numPr>
        <w:spacing w:before="40" w:after="60"/>
      </w:pPr>
      <w:r>
        <w:rPr>
          <w:rFonts w:ascii="Arial" w:cs="Arial" w:eastAsia="Arial" w:hAnsi="Arial"/>
          <w:color w:val="1A1A2E"/>
          <w:sz w:val="22"/>
          <w:szCs w:val="22"/>
        </w:rPr>
        <w:t xml:space="preserve">Labels: organ-specific toxicity endpoints (hepatotoxicity DILI score, nephrotoxicity markers, cardiotoxicity hERG IC50 proxy).</w:t>
      </w:r>
    </w:p>
    <w:p>
      <w:pPr>
        <w:pStyle w:val="ListParagraph"/>
        <w:numPr>
          <w:ilvl w:val="0"/>
          <w:numId w:val="2"/>
        </w:numPr>
        <w:spacing w:before="40" w:after="60"/>
      </w:pPr>
      <w:r>
        <w:rPr>
          <w:rFonts w:ascii="Arial" w:cs="Arial" w:eastAsia="Arial" w:hAnsi="Arial"/>
          <w:color w:val="1A1A2E"/>
          <w:sz w:val="22"/>
          <w:szCs w:val="22"/>
        </w:rPr>
        <w:t xml:space="preserve">Pipeline: PySpark data processing -&gt; ChemProp/PyTorch Geometric model training -&gt; MLflow experiment tracking -&gt; model registry promotion.</w:t>
      </w:r>
    </w:p>
    <w:p>
      <w:pPr>
        <w:spacing w:before="80" w:after="0"/>
      </w:pPr>
    </w:p>
    <w:p>
      <w:pPr>
        <w:pStyle w:val="Heading3"/>
        <w:spacing w:before="200" w:after="80"/>
      </w:pPr>
      <w:r>
        <w:rPr>
          <w:rFonts w:ascii="Arial" w:cs="Arial" w:eastAsia="Arial" w:hAnsi="Arial"/>
          <w:b/>
          <w:bCs/>
          <w:color w:val="0A8A8A"/>
          <w:sz w:val="22"/>
          <w:szCs w:val="22"/>
        </w:rPr>
        <w:t xml:space="preserve">Temporal Model Training</w:t>
      </w:r>
    </w:p>
    <w:p>
      <w:pPr>
        <w:pStyle w:val="ListParagraph"/>
        <w:numPr>
          <w:ilvl w:val="0"/>
          <w:numId w:val="2"/>
        </w:numPr>
        <w:spacing w:before="40" w:after="60"/>
      </w:pPr>
      <w:r>
        <w:rPr>
          <w:rFonts w:ascii="Arial" w:cs="Arial" w:eastAsia="Arial" w:hAnsi="Arial"/>
          <w:color w:val="1A1A2E"/>
          <w:sz w:val="22"/>
          <w:szCs w:val="22"/>
        </w:rPr>
        <w:t xml:space="preserve">Inputs: longitudinal clinical datasets (NHANES, UK Biobank subset, synthetic data for augmentation, later: de-identified EIRION user outcomes).</w:t>
      </w:r>
    </w:p>
    <w:p>
      <w:pPr>
        <w:pStyle w:val="ListParagraph"/>
        <w:numPr>
          <w:ilvl w:val="0"/>
          <w:numId w:val="2"/>
        </w:numPr>
        <w:spacing w:before="40" w:after="60"/>
      </w:pPr>
      <w:r>
        <w:rPr>
          <w:rFonts w:ascii="Arial" w:cs="Arial" w:eastAsia="Arial" w:hAnsi="Arial"/>
          <w:color w:val="1A1A2E"/>
          <w:sz w:val="22"/>
          <w:szCs w:val="22"/>
        </w:rPr>
        <w:t xml:space="preserve">Labels: follow-up organ function values, adverse event occurrence, biological age clock scores.</w:t>
      </w:r>
    </w:p>
    <w:p>
      <w:pPr>
        <w:pStyle w:val="ListParagraph"/>
        <w:numPr>
          <w:ilvl w:val="0"/>
          <w:numId w:val="2"/>
        </w:numPr>
        <w:spacing w:before="40" w:after="60"/>
      </w:pPr>
      <w:r>
        <w:rPr>
          <w:rFonts w:ascii="Arial" w:cs="Arial" w:eastAsia="Arial" w:hAnsi="Arial"/>
          <w:color w:val="1A1A2E"/>
          <w:sz w:val="22"/>
          <w:szCs w:val="22"/>
        </w:rPr>
        <w:t xml:space="preserve">Targets: MAE &lt; 10% on organ function values; AUC &gt; 0.85 on toxicity event prediction.</w:t>
      </w:r>
    </w:p>
    <w:p>
      <w:pPr>
        <w:spacing w:before="80" w:after="0"/>
      </w:pPr>
    </w:p>
    <w:p>
      <w:pPr>
        <w:pStyle w:val="Heading3"/>
        <w:spacing w:before="200" w:after="80"/>
      </w:pPr>
      <w:r>
        <w:rPr>
          <w:rFonts w:ascii="Arial" w:cs="Arial" w:eastAsia="Arial" w:hAnsi="Arial"/>
          <w:b/>
          <w:bCs/>
          <w:color w:val="0A8A8A"/>
          <w:sz w:val="22"/>
          <w:szCs w:val="22"/>
        </w:rPr>
        <w:t xml:space="preserve">RL Policy Training</w:t>
      </w:r>
    </w:p>
    <w:p>
      <w:pPr>
        <w:pStyle w:val="ListParagraph"/>
        <w:numPr>
          <w:ilvl w:val="0"/>
          <w:numId w:val="2"/>
        </w:numPr>
        <w:spacing w:before="40" w:after="60"/>
      </w:pPr>
      <w:r>
        <w:rPr>
          <w:rFonts w:ascii="Arial" w:cs="Arial" w:eastAsia="Arial" w:hAnsi="Arial"/>
          <w:color w:val="1A1A2E"/>
          <w:sz w:val="22"/>
          <w:szCs w:val="22"/>
        </w:rPr>
        <w:t xml:space="preserve">Simulated environment constructed from trained toxicity + temporal models.</w:t>
      </w:r>
    </w:p>
    <w:p>
      <w:pPr>
        <w:pStyle w:val="ListParagraph"/>
        <w:numPr>
          <w:ilvl w:val="0"/>
          <w:numId w:val="2"/>
        </w:numPr>
        <w:spacing w:before="40" w:after="60"/>
      </w:pPr>
      <w:r>
        <w:rPr>
          <w:rFonts w:ascii="Arial" w:cs="Arial" w:eastAsia="Arial" w:hAnsi="Arial"/>
          <w:color w:val="1A1A2E"/>
          <w:sz w:val="22"/>
          <w:szCs w:val="22"/>
        </w:rPr>
        <w:t xml:space="preserve">Offline RL pre-training from historical supplement change data; online fine-tuning with user feedback.</w:t>
      </w:r>
    </w:p>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8. AI &amp; ML Deep Dive</w:t>
      </w:r>
    </w:p>
    <w:p>
      <w:pPr>
        <w:pStyle w:val="Heading2"/>
        <w:spacing w:before="320" w:after="120"/>
      </w:pPr>
      <w:r>
        <w:rPr>
          <w:rFonts w:ascii="Arial" w:cs="Arial" w:eastAsia="Arial" w:hAnsi="Arial"/>
          <w:b/>
          <w:bCs/>
          <w:color w:val="16213E"/>
          <w:sz w:val="26"/>
          <w:szCs w:val="26"/>
        </w:rPr>
        <w:t xml:space="preserve">8.1 Model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Model</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Architecture</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Task</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Framework</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Drug-Gene GNN</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Graph Attention Network (GAT) v2 with heterogeneous node types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Organ-specific toxicity risk from drug-gene interaction graph</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PyTorch Geometric</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Molecular Toxicity</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DMPNN (ChemProp) with directed message passing on molecular graph</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Compound-level hepato/nephro/cardiotoxicity from SMILES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ChemProp (PyTorch)</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Trajectory Predictor</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Temporal Fusion Transformer (TFT) or LSTM with attention</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Multi-year organ function + bio-age projections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PyTorch / PyTorch Lightning</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Biological Age</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Ensemble of Horvath, PhenoAge, GrimAge clock adaptations + custom MLP</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Biological age from available omics + clinical features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scikit-learn + PyTorch</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RL Optimizer</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Soft Actor-Critic (SAC) with action masking for constraint handling</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Optimal regimen modification plan generation</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Stable-Baselines3 / RLlib</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Embedding Model</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Sentence Transformer fine-tuned on biomedical text (BioBERT base)</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Supplement/drug name normalization and semantic search</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HuggingFace Transformers</w:t>
            </w:r>
          </w:p>
        </w:tc>
      </w:tr>
    </w:tbl>
    <w:p>
      <w:pPr>
        <w:spacing w:before="120" w:after="0"/>
      </w:pPr>
    </w:p>
    <w:p>
      <w:pPr>
        <w:pStyle w:val="Heading2"/>
        <w:spacing w:before="320" w:after="120"/>
      </w:pPr>
      <w:r>
        <w:rPr>
          <w:rFonts w:ascii="Arial" w:cs="Arial" w:eastAsia="Arial" w:hAnsi="Arial"/>
          <w:b/>
          <w:bCs/>
          <w:color w:val="16213E"/>
          <w:sz w:val="26"/>
          <w:szCs w:val="26"/>
        </w:rPr>
        <w:t xml:space="preserve">8.2 Key AI Design Decisions</w:t>
      </w:r>
    </w:p>
    <w:p>
      <w:pPr>
        <w:pStyle w:val="ListParagraph"/>
        <w:numPr>
          <w:ilvl w:val="0"/>
          <w:numId w:val="2"/>
        </w:numPr>
        <w:spacing w:before="40" w:after="60"/>
      </w:pPr>
      <w:r>
        <w:rPr>
          <w:rFonts w:ascii="Arial" w:cs="Arial" w:eastAsia="Arial" w:hAnsi="Arial"/>
          <w:b/>
          <w:bCs/>
          <w:color w:val="0F3460"/>
          <w:sz w:val="22"/>
          <w:szCs w:val="22"/>
        </w:rPr>
        <w:t xml:space="preserve">Why GNN for toxicity? </w:t>
      </w:r>
      <w:r>
        <w:rPr>
          <w:rFonts w:ascii="Arial" w:cs="Arial" w:eastAsia="Arial" w:hAnsi="Arial"/>
          <w:color w:val="1A1A2E"/>
          <w:sz w:val="22"/>
          <w:szCs w:val="22"/>
        </w:rPr>
        <w:t xml:space="preserve">Drug-gene-pathway interactions are inherently graph-structured. GNNs capture multi-hop interaction effects (e.g., CYP2D6 variant -&gt; Ashwagandha metabolism -&gt; liver pathway -&gt; hepatotoxicity) that tabular models miss.</w:t>
      </w:r>
    </w:p>
    <w:p>
      <w:pPr>
        <w:pStyle w:val="ListParagraph"/>
        <w:numPr>
          <w:ilvl w:val="0"/>
          <w:numId w:val="2"/>
        </w:numPr>
        <w:spacing w:before="40" w:after="60"/>
      </w:pPr>
      <w:r>
        <w:rPr>
          <w:rFonts w:ascii="Arial" w:cs="Arial" w:eastAsia="Arial" w:hAnsi="Arial"/>
          <w:b/>
          <w:bCs/>
          <w:color w:val="0F3460"/>
          <w:sz w:val="22"/>
          <w:szCs w:val="22"/>
        </w:rPr>
        <w:t xml:space="preserve">Why Temporal Fusion Transformer for trajectories? </w:t>
      </w:r>
      <w:r>
        <w:rPr>
          <w:rFonts w:ascii="Arial" w:cs="Arial" w:eastAsia="Arial" w:hAnsi="Arial"/>
          <w:color w:val="1A1A2E"/>
          <w:sz w:val="22"/>
          <w:szCs w:val="22"/>
        </w:rPr>
        <w:t xml:space="preserve">TFT was designed for multi-horizon forecasting with mixed static/temporal inputs and produces interpretable attention weights — ideal for our organ trajectory task.</w:t>
      </w:r>
    </w:p>
    <w:p>
      <w:pPr>
        <w:pStyle w:val="ListParagraph"/>
        <w:numPr>
          <w:ilvl w:val="0"/>
          <w:numId w:val="2"/>
        </w:numPr>
        <w:spacing w:before="40" w:after="60"/>
      </w:pPr>
      <w:r>
        <w:rPr>
          <w:rFonts w:ascii="Arial" w:cs="Arial" w:eastAsia="Arial" w:hAnsi="Arial"/>
          <w:b/>
          <w:bCs/>
          <w:color w:val="0F3460"/>
          <w:sz w:val="22"/>
          <w:szCs w:val="22"/>
        </w:rPr>
        <w:t xml:space="preserve">Why RL for optimization? </w:t>
      </w:r>
      <w:r>
        <w:rPr>
          <w:rFonts w:ascii="Arial" w:cs="Arial" w:eastAsia="Arial" w:hAnsi="Arial"/>
          <w:color w:val="1A1A2E"/>
          <w:sz w:val="22"/>
          <w:szCs w:val="22"/>
        </w:rPr>
        <w:t xml:space="preserve">The regimen optimization problem is combinatorial (choose from hundreds of compounds, doses, and behavioral changes). RL naturally handles this by learning a policy that maximizes long-term healthspan reward, respecting hard constraints via action masking.</w:t>
      </w:r>
    </w:p>
    <w:p>
      <w:pPr>
        <w:pStyle w:val="ListParagraph"/>
        <w:numPr>
          <w:ilvl w:val="0"/>
          <w:numId w:val="2"/>
        </w:numPr>
        <w:spacing w:before="40" w:after="60"/>
      </w:pPr>
      <w:r>
        <w:rPr>
          <w:rFonts w:ascii="Arial" w:cs="Arial" w:eastAsia="Arial" w:hAnsi="Arial"/>
          <w:b/>
          <w:bCs/>
          <w:color w:val="0F3460"/>
          <w:sz w:val="22"/>
          <w:szCs w:val="22"/>
        </w:rPr>
        <w:t xml:space="preserve">Why ensemble biological age clocks? </w:t>
      </w:r>
      <w:r>
        <w:rPr>
          <w:rFonts w:ascii="Arial" w:cs="Arial" w:eastAsia="Arial" w:hAnsi="Arial"/>
          <w:color w:val="1A1A2E"/>
          <w:sz w:val="22"/>
          <w:szCs w:val="22"/>
        </w:rPr>
        <w:t xml:space="preserve">No single epigenetic clock works well without full methylation data. We ensemble available clock proxies adapted to the feature space we have (labs + lifestyle + partial genomics) and calibrate against reference population data.</w:t>
      </w:r>
    </w:p>
    <w:p>
      <w:pPr>
        <w:pStyle w:val="ListParagraph"/>
        <w:numPr>
          <w:ilvl w:val="0"/>
          <w:numId w:val="2"/>
        </w:numPr>
        <w:spacing w:before="40" w:after="60"/>
      </w:pPr>
      <w:r>
        <w:rPr>
          <w:rFonts w:ascii="Arial" w:cs="Arial" w:eastAsia="Arial" w:hAnsi="Arial"/>
          <w:b/>
          <w:bCs/>
          <w:color w:val="0F3460"/>
          <w:sz w:val="22"/>
          <w:szCs w:val="22"/>
        </w:rPr>
        <w:t xml:space="preserve">Uncertainty quantification: </w:t>
      </w:r>
      <w:r>
        <w:rPr>
          <w:rFonts w:ascii="Arial" w:cs="Arial" w:eastAsia="Arial" w:hAnsi="Arial"/>
          <w:color w:val="1A1A2E"/>
          <w:sz w:val="22"/>
          <w:szCs w:val="22"/>
        </w:rPr>
        <w:t xml:space="preserve">All predictions include confidence intervals (Monte Carlo Dropout for NNs, quantile regression for trajectory models). Low-confidence predictions trigger conservative recommendations and explicit uncertainty flags to users.</w:t>
      </w:r>
    </w:p>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9. Data Sources &amp; Datasets</w:t>
      </w:r>
    </w:p>
    <w:p>
      <w:pPr>
        <w:pStyle w:val="Heading2"/>
        <w:spacing w:before="320" w:after="120"/>
      </w:pPr>
      <w:r>
        <w:rPr>
          <w:rFonts w:ascii="Arial" w:cs="Arial" w:eastAsia="Arial" w:hAnsi="Arial"/>
          <w:b/>
          <w:bCs/>
          <w:color w:val="16213E"/>
          <w:sz w:val="26"/>
          <w:szCs w:val="26"/>
        </w:rPr>
        <w:t xml:space="preserve">9.1 Public Knowledge Bases (Pre-loaded)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Dataset</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Contents</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Usage</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License</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PharmGKB</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Drug-gene relationships, clinical guidelines, variant annotations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Gene-drug interaction features; recommendation evidence</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CC BY 4.0</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CPIC Guidelines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Curated clinical pharmacogenomics dosing guidelines (100+ drug-gene pairs)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Hard constraint rules; recommendation text</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CC BY 4.0</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DrugBank (Open)</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Drug structures, targets, interactions, pharmacokinetics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SMILES for molecular models; interaction flags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CC BY-NC 4.0</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ToxCast / Tox21</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High-throughput toxicity assay data for 10,000+ compounds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Toxicity model training; organ-specific endpoints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Public Domain (EPA)</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FDA FAERS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Post-market adverse event reports (millions of cases)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Real-world toxicity signal extraction; label generation</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Public Domain (FDA)</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ChEMBL</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Bioactivity data for 2M+ compounds against 15,000+ targets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Toxicity model pretraining; DMPNN training</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CC BY-SA 3.0</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NHANES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 population health surveys with labs, lifestyle, demographics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Trajectory model training; population baselines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Public Domain (CDC)</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UK Biobank (Subset)</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Longitudinal cohort: genetics, labs, outcomes (500k participants)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Trajectory and biological age model training</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Approved access</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DSLD (NIH)</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Dietary Supplement Label Database: 175,000+ supplement products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Product normalization; ingredient identification</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Public Domain (NIH)</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Reactome</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Biological pathway database: 25,000+ reactions across 11 species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Pathway node features in drug-gene GNN</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CC BY 4.0</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ClinVar / dbSNP</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Genetic variant classification and population frequencies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SNP annotation; genotype feature engineering</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Public Domain (NCBI)</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OpenFDA Drug Labels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FDA-approved drug label text (structure, interactions, warnings)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Rule extraction; interaction detection</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Public Domain (FDA)</w:t>
            </w:r>
          </w:p>
        </w:tc>
      </w:tr>
    </w:tbl>
    <w:p>
      <w:pPr>
        <w:spacing w:before="120" w:after="0"/>
      </w:pPr>
    </w:p>
    <w:p>
      <w:pPr>
        <w:pStyle w:val="Heading2"/>
        <w:spacing w:before="320" w:after="120"/>
      </w:pPr>
      <w:r>
        <w:rPr>
          <w:rFonts w:ascii="Arial" w:cs="Arial" w:eastAsia="Arial" w:hAnsi="Arial"/>
          <w:b/>
          <w:bCs/>
          <w:color w:val="16213E"/>
          <w:sz w:val="26"/>
          <w:szCs w:val="26"/>
        </w:rPr>
        <w:t xml:space="preserve">9.2 User-Generated Data</w:t>
      </w:r>
    </w:p>
    <w:p>
      <w:pPr>
        <w:pStyle w:val="ListParagraph"/>
        <w:numPr>
          <w:ilvl w:val="0"/>
          <w:numId w:val="2"/>
        </w:numPr>
        <w:spacing w:before="40" w:after="60"/>
      </w:pPr>
      <w:r>
        <w:rPr>
          <w:rFonts w:ascii="Arial" w:cs="Arial" w:eastAsia="Arial" w:hAnsi="Arial"/>
          <w:color w:val="1A1A2E"/>
          <w:sz w:val="22"/>
          <w:szCs w:val="22"/>
        </w:rPr>
        <w:t xml:space="preserve">Genetic files: 23andMe raw TSV, AncestryDNA CSV — parsed for ~700k SNP calls.</w:t>
      </w:r>
    </w:p>
    <w:p>
      <w:pPr>
        <w:pStyle w:val="ListParagraph"/>
        <w:numPr>
          <w:ilvl w:val="0"/>
          <w:numId w:val="2"/>
        </w:numPr>
        <w:spacing w:before="40" w:after="60"/>
      </w:pPr>
      <w:r>
        <w:rPr>
          <w:rFonts w:ascii="Arial" w:cs="Arial" w:eastAsia="Arial" w:hAnsi="Arial"/>
          <w:color w:val="1A1A2E"/>
          <w:sz w:val="22"/>
          <w:szCs w:val="22"/>
        </w:rPr>
        <w:t xml:space="preserve">Wearable streams: heart rate, HRV, sleep stages, steps, active calories — via OAuth APIs.</w:t>
      </w:r>
    </w:p>
    <w:p>
      <w:pPr>
        <w:pStyle w:val="ListParagraph"/>
        <w:numPr>
          <w:ilvl w:val="0"/>
          <w:numId w:val="2"/>
        </w:numPr>
        <w:spacing w:before="40" w:after="60"/>
      </w:pPr>
      <w:r>
        <w:rPr>
          <w:rFonts w:ascii="Arial" w:cs="Arial" w:eastAsia="Arial" w:hAnsi="Arial"/>
          <w:color w:val="1A1A2E"/>
          <w:sz w:val="22"/>
          <w:szCs w:val="22"/>
        </w:rPr>
        <w:t xml:space="preserve">Lab results: manually entered or FHIR-imported structured lab panel values.</w:t>
      </w:r>
    </w:p>
    <w:p>
      <w:pPr>
        <w:pStyle w:val="ListParagraph"/>
        <w:numPr>
          <w:ilvl w:val="0"/>
          <w:numId w:val="2"/>
        </w:numPr>
        <w:spacing w:before="40" w:after="60"/>
      </w:pPr>
      <w:r>
        <w:rPr>
          <w:rFonts w:ascii="Arial" w:cs="Arial" w:eastAsia="Arial" w:hAnsi="Arial"/>
          <w:color w:val="1A1A2E"/>
          <w:sz w:val="22"/>
          <w:szCs w:val="22"/>
        </w:rPr>
        <w:t xml:space="preserve">User feedback: adopted/skipped recommendations; subjective symptom reports.</w:t>
      </w:r>
    </w:p>
    <w:p>
      <w:pPr>
        <w:spacing w:before="80" w:after="0"/>
      </w:pPr>
    </w:p>
    <w:p>
      <w:pPr>
        <w:pStyle w:val="Heading2"/>
        <w:spacing w:before="320" w:after="120"/>
      </w:pPr>
      <w:r>
        <w:rPr>
          <w:rFonts w:ascii="Arial" w:cs="Arial" w:eastAsia="Arial" w:hAnsi="Arial"/>
          <w:b/>
          <w:bCs/>
          <w:color w:val="16213E"/>
          <w:sz w:val="26"/>
          <w:szCs w:val="26"/>
        </w:rPr>
        <w:t xml:space="preserve">9.3 Synthetic Data Strategy (Hackathon / Early Phase)</w:t>
      </w:r>
    </w:p>
    <w:p>
      <w:pPr>
        <w:pStyle w:val="ListParagraph"/>
        <w:numPr>
          <w:ilvl w:val="0"/>
          <w:numId w:val="2"/>
        </w:numPr>
        <w:spacing w:before="40" w:after="60"/>
      </w:pPr>
      <w:r>
        <w:rPr>
          <w:rFonts w:ascii="Arial" w:cs="Arial" w:eastAsia="Arial" w:hAnsi="Arial"/>
          <w:color w:val="1A1A2E"/>
          <w:sz w:val="22"/>
          <w:szCs w:val="22"/>
        </w:rPr>
        <w:t xml:space="preserve">Generate clinically plausible synthetic patients using Monte Carlo sampling over population distributions from NHANES.</w:t>
      </w:r>
    </w:p>
    <w:p>
      <w:pPr>
        <w:pStyle w:val="ListParagraph"/>
        <w:numPr>
          <w:ilvl w:val="0"/>
          <w:numId w:val="2"/>
        </w:numPr>
        <w:spacing w:before="40" w:after="60"/>
      </w:pPr>
      <w:r>
        <w:rPr>
          <w:rFonts w:ascii="Arial" w:cs="Arial" w:eastAsia="Arial" w:hAnsi="Arial"/>
          <w:color w:val="1A1A2E"/>
          <w:sz w:val="22"/>
          <w:szCs w:val="22"/>
        </w:rPr>
        <w:t xml:space="preserve">Simulate gene-drug interactions using PharmGKB rules + CPIC metabolizer class prevalence.</w:t>
      </w:r>
    </w:p>
    <w:p>
      <w:pPr>
        <w:pStyle w:val="ListParagraph"/>
        <w:numPr>
          <w:ilvl w:val="0"/>
          <w:numId w:val="2"/>
        </w:numPr>
        <w:spacing w:before="40" w:after="60"/>
      </w:pPr>
      <w:r>
        <w:rPr>
          <w:rFonts w:ascii="Arial" w:cs="Arial" w:eastAsia="Arial" w:hAnsi="Arial"/>
          <w:color w:val="1A1A2E"/>
          <w:sz w:val="22"/>
          <w:szCs w:val="22"/>
        </w:rPr>
        <w:t xml:space="preserve">Augment real training data by 10x using validated simulation to address class imbalance on rare toxicity endpoints.</w:t>
      </w:r>
    </w:p>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10. Technology Stack</w:t>
      </w:r>
    </w:p>
    <w:p>
      <w:pPr>
        <w:pStyle w:val="Heading2"/>
        <w:spacing w:before="320" w:after="120"/>
      </w:pPr>
      <w:r>
        <w:rPr>
          <w:rFonts w:ascii="Arial" w:cs="Arial" w:eastAsia="Arial" w:hAnsi="Arial"/>
          <w:b/>
          <w:bCs/>
          <w:color w:val="16213E"/>
          <w:sz w:val="26"/>
          <w:szCs w:val="26"/>
        </w:rPr>
        <w:t xml:space="preserve">10.1 Full Stack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Layer</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Technology</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Version/Notes</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Frontend Framework</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React + TypeScript</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v18; Vite build tool</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UI Components</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shadcn/ui + Tailwind CSS</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Component library; responsive design system</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Data Visualization</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Recharts + D3.js</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Organ charts; biological age gauge; trajectory plots</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State Management</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Zustand + React Query</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Client state; server state with caching</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Mobile (Phase 2)</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React Native + Expo</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iOS + Android from shared codebase</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API Gateway</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Kong OSS / AWS API Gateway</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Rate limiting, auth, routing</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Backend Language</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Python 3.11 + FastAPI</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Primary API services; async support</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Auth</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Keycloak / Auth0</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JWT, OAuth2, RBAC, granular consent</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Task Queue</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Celery + Redis</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Async ingestion jobs; model inference queuing</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WebSocket</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FastAPI WebSocket / Socket.io</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Real-time analysis progress notifications</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Primary DB</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PostgreSQL 16</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Users, profiles, regimens, consents</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Document Store</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MongoDB Atlas</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Flexible schema for genetic variant records</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Time-Series DB</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TimescaleDB (Postgres ext.)</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Wearable metrics, lab time-series, organ trajectories</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Cache</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Redis 7</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Session cache; feature vector cache; rate limit counters</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Object Storage</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AWS S3 / MinIO (self-hosted)</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Genetic file storage; model artifacts; audit logs</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Model Registry</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MLflow</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Model versioning, experiment tracking, artifact storage</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ML Framework</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PyTorch 2.x + PyTorch Lightning</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All neural network training and inference</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GNN Library</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PyTorch Geometric (PyG)</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Graph Attention Networks for drug-gene graphs</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Molecular ML</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ChemProp 2.x</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DMPNN for compound toxicity prediction from SMILES</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Bioinformatics</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Biopython + PyVCF + pysam</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VCF/TSV parsing, SNP annotation, genotype processing</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NLP/Embeddings</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HuggingFace Transformers (BioBERT)</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Drug name normalization; semantic similarity</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RL Framework</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Stable-Baselines3 / Ray RLlib</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PPO/SAC regimen optimization agent</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Explainability</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SHAP + Captum (PyTorch)</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Feature attribution; attention visualization</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Data Engineering</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Apache Spark / Pandas + Dask</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Training data pipelines; large dataset processing</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Orchestration</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Apache Airflow</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Training pipeline scheduling; retraining triggers</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Containerization</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Docker + Docker Compose</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Service packaging; local dev environment</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Orchestration (Prod)</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Kubernetes (EKS / GKE)</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Production scaling; service mesh</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CI/CD</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GitHub Actions + ArgoCD</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Automated testing, build, deploy pipeline</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Monitoring</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Datadog / Prometheus + Grafana</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APM, error tracking, ML model performance monitoring</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Logging</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ELK Stack (Elasticsearch, Logstash, Kibana)</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Centralized structured logging; audit trail</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Infrastructure</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AWS (primary) / GCP (ML training)</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Multi-cloud: AWS for serving, GCP TPUs for training</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IaC</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Terraform + Helm Charts</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Infrastructure as code; K8s manifest management</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API Docs</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OpenAPI 3.1 / Swagger UI</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Auto-generated from FastAPI; versioned</w:t>
            </w:r>
          </w:p>
        </w:tc>
      </w:tr>
    </w:tbl>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11. API Design Principles</w:t>
      </w:r>
    </w:p>
    <w:p>
      <w:pPr>
        <w:pStyle w:val="Heading2"/>
        <w:spacing w:before="320" w:after="120"/>
      </w:pPr>
      <w:r>
        <w:rPr>
          <w:rFonts w:ascii="Arial" w:cs="Arial" w:eastAsia="Arial" w:hAnsi="Arial"/>
          <w:b/>
          <w:bCs/>
          <w:color w:val="16213E"/>
          <w:sz w:val="26"/>
          <w:szCs w:val="26"/>
        </w:rPr>
        <w:t xml:space="preserve">11.1 REST API Structure</w:t>
      </w:r>
    </w:p>
    <w:p>
      <w:pPr>
        <w:shd w:fill="1E1E2E" w:val="clear"/>
        <w:spacing w:before="80" w:after="80"/>
        <w:ind w:left="360"/>
      </w:pPr>
      <w:r>
        <w:rPr>
          <w:rFonts w:ascii="Courier New" w:cs="Courier New" w:eastAsia="Courier New" w:hAnsi="Courier New"/>
          <w:color w:val="D4D4FF"/>
          <w:sz w:val="18"/>
          <w:szCs w:val="18"/>
        </w:rPr>
        <w:t xml:space="preserve">Base URL: https://api.eirion.health/v1</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Endpoint</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Method</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Description</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/auth/signup</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POST</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Create account; returns JWT access + refresh tokens</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/auth/login</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POST</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Authenticate; returns tokens</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/users/me</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GET / PATCH</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Get/update authenticated user profile</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/users/me/regimen</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GET / POST / PUT</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Get or update current supplement/medication stack</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/users/me/labs</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GET / POST</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Get or add lab result entries</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/users/me/genetics</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POST</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Upload genetic file (multipart); returns parsing job ID</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/analysis/run</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POST</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Trigger full analysis for current user; async; returns job ID</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/analysis/{job_id}/status</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GET</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Poll analysis job status</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/analysis/{job_id}/results</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GET</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Retrieve full analysis results (trajectories, scores, recs)</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/recommendations</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GET</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Get current ranked recommendations with evidence</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/recommendations/{id}/adopt</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POST</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Mark recommendation as adopted</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/wearables/connect/{provider}</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GET</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Initiate OAuth2 flow for wearable provider</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/admin/models/retrain</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POST</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Trigger model retraining (admin only)</w:t>
            </w:r>
          </w:p>
        </w:tc>
      </w:tr>
    </w:tbl>
    <w:p>
      <w:pPr>
        <w:spacing w:before="120" w:after="0"/>
      </w:pPr>
    </w:p>
    <w:p>
      <w:pPr>
        <w:pStyle w:val="Heading2"/>
        <w:spacing w:before="320" w:after="120"/>
      </w:pPr>
      <w:r>
        <w:rPr>
          <w:rFonts w:ascii="Arial" w:cs="Arial" w:eastAsia="Arial" w:hAnsi="Arial"/>
          <w:b/>
          <w:bCs/>
          <w:color w:val="16213E"/>
          <w:sz w:val="26"/>
          <w:szCs w:val="26"/>
        </w:rPr>
        <w:t xml:space="preserve">11.2 WebSocket Events</w:t>
      </w:r>
    </w:p>
    <w:p>
      <w:pPr>
        <w:pStyle w:val="ListParagraph"/>
        <w:numPr>
          <w:ilvl w:val="0"/>
          <w:numId w:val="2"/>
        </w:numPr>
        <w:spacing w:before="40" w:after="60"/>
      </w:pPr>
      <w:r>
        <w:rPr>
          <w:rFonts w:ascii="Arial" w:cs="Arial" w:eastAsia="Arial" w:hAnsi="Arial"/>
          <w:color w:val="1A1A2E"/>
          <w:sz w:val="22"/>
          <w:szCs w:val="22"/>
        </w:rPr>
        <w:t xml:space="preserve">analysis:started — emitted when async analysis job begins.</w:t>
      </w:r>
    </w:p>
    <w:p>
      <w:pPr>
        <w:pStyle w:val="ListParagraph"/>
        <w:numPr>
          <w:ilvl w:val="0"/>
          <w:numId w:val="2"/>
        </w:numPr>
        <w:spacing w:before="40" w:after="60"/>
      </w:pPr>
      <w:r>
        <w:rPr>
          <w:rFonts w:ascii="Arial" w:cs="Arial" w:eastAsia="Arial" w:hAnsi="Arial"/>
          <w:color w:val="1A1A2E"/>
          <w:sz w:val="22"/>
          <w:szCs w:val="22"/>
        </w:rPr>
        <w:t xml:space="preserve">analysis:progress — emitted at each pipeline stage (feature build, toxicity, trajectory, optimization).</w:t>
      </w:r>
    </w:p>
    <w:p>
      <w:pPr>
        <w:pStyle w:val="ListParagraph"/>
        <w:numPr>
          <w:ilvl w:val="0"/>
          <w:numId w:val="2"/>
        </w:numPr>
        <w:spacing w:before="40" w:after="60"/>
      </w:pPr>
      <w:r>
        <w:rPr>
          <w:rFonts w:ascii="Arial" w:cs="Arial" w:eastAsia="Arial" w:hAnsi="Arial"/>
          <w:color w:val="1A1A2E"/>
          <w:sz w:val="22"/>
          <w:szCs w:val="22"/>
        </w:rPr>
        <w:t xml:space="preserve">analysis:completed — emitted with summary results when analysis is done.</w:t>
      </w:r>
    </w:p>
    <w:p>
      <w:pPr>
        <w:pStyle w:val="ListParagraph"/>
        <w:numPr>
          <w:ilvl w:val="0"/>
          <w:numId w:val="2"/>
        </w:numPr>
        <w:spacing w:before="40" w:after="60"/>
      </w:pPr>
      <w:r>
        <w:rPr>
          <w:rFonts w:ascii="Arial" w:cs="Arial" w:eastAsia="Arial" w:hAnsi="Arial"/>
          <w:color w:val="1A1A2E"/>
          <w:sz w:val="22"/>
          <w:szCs w:val="22"/>
        </w:rPr>
        <w:t xml:space="preserve">alert:interaction — real-time alert when user adds a regimen item with a known severe interaction.</w:t>
      </w:r>
    </w:p>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12. Security, Privacy &amp; Compliance</w:t>
      </w:r>
    </w:p>
    <w:p>
      <w:pPr>
        <w:pStyle w:val="Heading2"/>
        <w:spacing w:before="320" w:after="120"/>
      </w:pPr>
      <w:r>
        <w:rPr>
          <w:rFonts w:ascii="Arial" w:cs="Arial" w:eastAsia="Arial" w:hAnsi="Arial"/>
          <w:b/>
          <w:bCs/>
          <w:color w:val="16213E"/>
          <w:sz w:val="26"/>
          <w:szCs w:val="26"/>
        </w:rPr>
        <w:t xml:space="preserve">12.1 Data Security</w:t>
      </w:r>
    </w:p>
    <w:p>
      <w:pPr>
        <w:pStyle w:val="ListParagraph"/>
        <w:numPr>
          <w:ilvl w:val="0"/>
          <w:numId w:val="2"/>
        </w:numPr>
        <w:spacing w:before="40" w:after="60"/>
      </w:pPr>
      <w:r>
        <w:rPr>
          <w:rFonts w:ascii="Arial" w:cs="Arial" w:eastAsia="Arial" w:hAnsi="Arial"/>
          <w:color w:val="1A1A2E"/>
          <w:sz w:val="22"/>
          <w:szCs w:val="22"/>
        </w:rPr>
        <w:t xml:space="preserve">Encryption at rest: AES-256 for all stored data; genetic files stored in encrypted S3 buckets with customer-managed KMS keys.</w:t>
      </w:r>
    </w:p>
    <w:p>
      <w:pPr>
        <w:pStyle w:val="ListParagraph"/>
        <w:numPr>
          <w:ilvl w:val="0"/>
          <w:numId w:val="2"/>
        </w:numPr>
        <w:spacing w:before="40" w:after="60"/>
      </w:pPr>
      <w:r>
        <w:rPr>
          <w:rFonts w:ascii="Arial" w:cs="Arial" w:eastAsia="Arial" w:hAnsi="Arial"/>
          <w:color w:val="1A1A2E"/>
          <w:sz w:val="22"/>
          <w:szCs w:val="22"/>
        </w:rPr>
        <w:t xml:space="preserve">Encryption in transit: TLS 1.3 mandatory for all API endpoints; HSTS enforced.</w:t>
      </w:r>
    </w:p>
    <w:p>
      <w:pPr>
        <w:pStyle w:val="ListParagraph"/>
        <w:numPr>
          <w:ilvl w:val="0"/>
          <w:numId w:val="2"/>
        </w:numPr>
        <w:spacing w:before="40" w:after="60"/>
      </w:pPr>
      <w:r>
        <w:rPr>
          <w:rFonts w:ascii="Arial" w:cs="Arial" w:eastAsia="Arial" w:hAnsi="Arial"/>
          <w:color w:val="1A1A2E"/>
          <w:sz w:val="22"/>
          <w:szCs w:val="22"/>
        </w:rPr>
        <w:t xml:space="preserve">Genetic data isolation: stored in separate encrypted partition; access logged on every read.</w:t>
      </w:r>
    </w:p>
    <w:p>
      <w:pPr>
        <w:pStyle w:val="ListParagraph"/>
        <w:numPr>
          <w:ilvl w:val="0"/>
          <w:numId w:val="2"/>
        </w:numPr>
        <w:spacing w:before="40" w:after="60"/>
      </w:pPr>
      <w:r>
        <w:rPr>
          <w:rFonts w:ascii="Arial" w:cs="Arial" w:eastAsia="Arial" w:hAnsi="Arial"/>
          <w:color w:val="1A1A2E"/>
          <w:sz w:val="22"/>
          <w:szCs w:val="22"/>
        </w:rPr>
        <w:t xml:space="preserve">Tokenization: PII (name, email) separated from health data using pseudonymous user IDs.</w:t>
      </w:r>
    </w:p>
    <w:p>
      <w:pPr>
        <w:spacing w:before="80" w:after="0"/>
      </w:pPr>
    </w:p>
    <w:p>
      <w:pPr>
        <w:pStyle w:val="Heading2"/>
        <w:spacing w:before="320" w:after="120"/>
      </w:pPr>
      <w:r>
        <w:rPr>
          <w:rFonts w:ascii="Arial" w:cs="Arial" w:eastAsia="Arial" w:hAnsi="Arial"/>
          <w:b/>
          <w:bCs/>
          <w:color w:val="16213E"/>
          <w:sz w:val="26"/>
          <w:szCs w:val="26"/>
        </w:rPr>
        <w:t xml:space="preserve">12.2 Access Control</w:t>
      </w:r>
    </w:p>
    <w:p>
      <w:pPr>
        <w:pStyle w:val="ListParagraph"/>
        <w:numPr>
          <w:ilvl w:val="0"/>
          <w:numId w:val="2"/>
        </w:numPr>
        <w:spacing w:before="40" w:after="60"/>
      </w:pPr>
      <w:r>
        <w:rPr>
          <w:rFonts w:ascii="Arial" w:cs="Arial" w:eastAsia="Arial" w:hAnsi="Arial"/>
          <w:color w:val="1A1A2E"/>
          <w:sz w:val="22"/>
          <w:szCs w:val="22"/>
        </w:rPr>
        <w:t xml:space="preserve">Role-based access control (RBAC): USER, CLINICIAN, ADMIN roles with scoped permissions.</w:t>
      </w:r>
    </w:p>
    <w:p>
      <w:pPr>
        <w:pStyle w:val="ListParagraph"/>
        <w:numPr>
          <w:ilvl w:val="0"/>
          <w:numId w:val="2"/>
        </w:numPr>
        <w:spacing w:before="40" w:after="60"/>
      </w:pPr>
      <w:r>
        <w:rPr>
          <w:rFonts w:ascii="Arial" w:cs="Arial" w:eastAsia="Arial" w:hAnsi="Arial"/>
          <w:color w:val="1A1A2E"/>
          <w:sz w:val="22"/>
          <w:szCs w:val="22"/>
        </w:rPr>
        <w:t xml:space="preserve">Granular consent management: users grant/revoke consent per data category independently.</w:t>
      </w:r>
    </w:p>
    <w:p>
      <w:pPr>
        <w:pStyle w:val="ListParagraph"/>
        <w:numPr>
          <w:ilvl w:val="0"/>
          <w:numId w:val="2"/>
        </w:numPr>
        <w:spacing w:before="40" w:after="60"/>
      </w:pPr>
      <w:r>
        <w:rPr>
          <w:rFonts w:ascii="Arial" w:cs="Arial" w:eastAsia="Arial" w:hAnsi="Arial"/>
          <w:color w:val="1A1A2E"/>
          <w:sz w:val="22"/>
          <w:szCs w:val="22"/>
        </w:rPr>
        <w:t xml:space="preserve">Consent audit log: every data access event timestamped and attributed; immutable audit trail.</w:t>
      </w:r>
    </w:p>
    <w:p>
      <w:pPr>
        <w:pStyle w:val="ListParagraph"/>
        <w:numPr>
          <w:ilvl w:val="0"/>
          <w:numId w:val="2"/>
        </w:numPr>
        <w:spacing w:before="40" w:after="60"/>
      </w:pPr>
      <w:r>
        <w:rPr>
          <w:rFonts w:ascii="Arial" w:cs="Arial" w:eastAsia="Arial" w:hAnsi="Arial"/>
          <w:color w:val="1A1A2E"/>
          <w:sz w:val="22"/>
          <w:szCs w:val="22"/>
        </w:rPr>
        <w:t xml:space="preserve">Zero-trust internal service auth: mTLS between microservices; service accounts, not shared secrets.</w:t>
      </w:r>
    </w:p>
    <w:p>
      <w:pPr>
        <w:spacing w:before="80" w:after="0"/>
      </w:pPr>
    </w:p>
    <w:p>
      <w:pPr>
        <w:pStyle w:val="Heading2"/>
        <w:spacing w:before="320" w:after="120"/>
      </w:pPr>
      <w:r>
        <w:rPr>
          <w:rFonts w:ascii="Arial" w:cs="Arial" w:eastAsia="Arial" w:hAnsi="Arial"/>
          <w:b/>
          <w:bCs/>
          <w:color w:val="16213E"/>
          <w:sz w:val="26"/>
          <w:szCs w:val="26"/>
        </w:rPr>
        <w:t xml:space="preserve">12.3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Regulation</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Applicability</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EIRION Approach</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HIPAA (US)</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Health data of US users</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PHI handling policies, BAAs with cloud providers, audit logs, breach notification plan</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GDPR (EU)</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EU users' personal data</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Data minimization, right to erasure, data portability, DPA/DPO designation</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DPDPA (India)</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Indian users' personal data</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Consent framework, data localization readiness, grievance officer</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FDA SaMD (Phase 3)</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If classified as Software as a Medical Device</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Predicate device strategy, QMS (ISO 13485), clinical validation studies</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SOC 2 Type II</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Enterprise/B2B customers</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Security controls audit; annual recertification</w:t>
            </w:r>
          </w:p>
        </w:tc>
      </w:tr>
    </w:tbl>
    <w:p>
      <w:pPr>
        <w:spacing w:before="80" w:after="0"/>
      </w:pPr>
    </w:p>
    <w:p>
      <w:pPr>
        <w:pStyle w:val="Heading2"/>
        <w:spacing w:before="320" w:after="120"/>
      </w:pPr>
      <w:r>
        <w:rPr>
          <w:rFonts w:ascii="Arial" w:cs="Arial" w:eastAsia="Arial" w:hAnsi="Arial"/>
          <w:b/>
          <w:bCs/>
          <w:color w:val="16213E"/>
          <w:sz w:val="26"/>
          <w:szCs w:val="26"/>
        </w:rPr>
        <w:t xml:space="preserve">12.4 Disclaimer Handling</w:t>
      </w:r>
    </w:p>
    <w:p>
      <w:pPr>
        <w:pStyle w:val="ListParagraph"/>
        <w:numPr>
          <w:ilvl w:val="0"/>
          <w:numId w:val="2"/>
        </w:numPr>
        <w:spacing w:before="40" w:after="60"/>
      </w:pPr>
      <w:r>
        <w:rPr>
          <w:rFonts w:ascii="Arial" w:cs="Arial" w:eastAsia="Arial" w:hAnsi="Arial"/>
          <w:color w:val="1A1A2E"/>
          <w:sz w:val="22"/>
          <w:szCs w:val="22"/>
        </w:rPr>
        <w:t xml:space="preserve">All predictions accompanied by mandatory disclaimer: 'For informational purposes only. Not a substitute for professional medical advice.'</w:t>
      </w:r>
    </w:p>
    <w:p>
      <w:pPr>
        <w:pStyle w:val="ListParagraph"/>
        <w:numPr>
          <w:ilvl w:val="0"/>
          <w:numId w:val="2"/>
        </w:numPr>
        <w:spacing w:before="40" w:after="60"/>
      </w:pPr>
      <w:r>
        <w:rPr>
          <w:rFonts w:ascii="Arial" w:cs="Arial" w:eastAsia="Arial" w:hAnsi="Arial"/>
          <w:color w:val="1A1A2E"/>
          <w:sz w:val="22"/>
          <w:szCs w:val="22"/>
        </w:rPr>
        <w:t xml:space="preserve">If model confidence drops below 70%, recommendation is flagged as 'Experimental — consult your physician.'</w:t>
      </w:r>
    </w:p>
    <w:p>
      <w:pPr>
        <w:pStyle w:val="ListParagraph"/>
        <w:numPr>
          <w:ilvl w:val="0"/>
          <w:numId w:val="2"/>
        </w:numPr>
        <w:spacing w:before="40" w:after="60"/>
      </w:pPr>
      <w:r>
        <w:rPr>
          <w:rFonts w:ascii="Arial" w:cs="Arial" w:eastAsia="Arial" w:hAnsi="Arial"/>
          <w:color w:val="1A1A2E"/>
          <w:sz w:val="22"/>
          <w:szCs w:val="22"/>
        </w:rPr>
        <w:t xml:space="preserve">Clinician share report clearly marked as AI-generated decision support, not diagnosis.</w:t>
      </w:r>
    </w:p>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13.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c>
          <w:tcPr>
            <w:tcW w:type="dxa" w:w="1500"/>
            <w:tcBorders>
              <w:top w:val="single" w:color="E94560" w:sz="1"/>
              <w:left w:val="single" w:color="E94560" w:sz="1"/>
              <w:bottom w:val="single" w:color="E94560" w:sz="1"/>
              <w:right w:val="single" w:color="E94560" w:sz="1"/>
            </w:tcBorders>
            <w:shd w:fill="E945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2000"/>
            <w:tcBorders>
              <w:top w:val="single" w:color="E94560" w:sz="1"/>
              <w:left w:val="single" w:color="E94560" w:sz="1"/>
              <w:bottom w:val="single" w:color="E94560" w:sz="1"/>
              <w:right w:val="single" w:color="E94560" w:sz="1"/>
            </w:tcBorders>
            <w:shd w:fill="E945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Timeline</w:t>
            </w:r>
          </w:p>
        </w:tc>
        <w:tc>
          <w:tcPr>
            <w:tcW w:type="dxa" w:w="3000"/>
            <w:tcBorders>
              <w:top w:val="single" w:color="E94560" w:sz="1"/>
              <w:left w:val="single" w:color="E94560" w:sz="1"/>
              <w:bottom w:val="single" w:color="E94560" w:sz="1"/>
              <w:right w:val="single" w:color="E94560" w:sz="1"/>
            </w:tcBorders>
            <w:shd w:fill="E945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Milestone</w:t>
            </w:r>
          </w:p>
        </w:tc>
        <w:tc>
          <w:tcPr>
            <w:tcW w:type="dxa" w:w="2860"/>
            <w:tcBorders>
              <w:top w:val="single" w:color="E94560" w:sz="1"/>
              <w:left w:val="single" w:color="E94560" w:sz="1"/>
              <w:bottom w:val="single" w:color="E94560" w:sz="1"/>
              <w:right w:val="single" w:color="E94560" w:sz="1"/>
            </w:tcBorders>
            <w:shd w:fill="E945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Deliverables</w:t>
            </w:r>
          </w:p>
        </w:tc>
      </w:tr>
      <w:tr>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Phase 0</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Hackathon
(0-2 weeks)</w:t>
            </w:r>
          </w:p>
        </w:tc>
        <w:tc>
          <w:tcPr>
            <w:tcW w:type="dxa" w:w="3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Live Demo</w:t>
            </w:r>
          </w:p>
        </w:tc>
        <w:tc>
          <w:tcPr>
            <w:tcW w:type="dxa" w:w="28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Web UI onboarding, rule+ML hybrid engine for liver toxicity, 5-10 meds/supps, 5-year trajectory chart, canonical use case demo</w:t>
            </w:r>
          </w:p>
        </w:tc>
      </w:tr>
      <w:tr>
        <w:tc>
          <w:tcPr>
            <w:tcW w:type="dxa" w:w="1500"/>
            <w:tcBorders>
              <w:top w:val="single" w:color="D0D8E8" w:sz="1"/>
              <w:left w:val="single" w:color="D0D8E8" w:sz="1"/>
              <w:bottom w:val="single" w:color="D0D8E8" w:sz="1"/>
              <w:right w:val="single" w:color="D0D8E8" w:sz="1"/>
            </w:tcBorders>
            <w:shd w:fill="EAF2FF" w:val="clear"/>
            <w:tcMar>
              <w:top w:type="dxa" w:w="80"/>
              <w:left w:type="dxa" w:w="120"/>
              <w:bottom w:type="dxa" w:w="80"/>
              <w:right w:type="dxa" w:w="120"/>
            </w:tcMar>
          </w:tcPr>
          <w:p>
            <w:r>
              <w:rPr>
                <w:rFonts w:ascii="Arial" w:cs="Arial" w:eastAsia="Arial" w:hAnsi="Arial"/>
                <w:color w:val="1A1A2E"/>
                <w:sz w:val="18"/>
                <w:szCs w:val="18"/>
              </w:rPr>
              <w:t xml:space="preserve">Phase 1</w:t>
            </w:r>
          </w:p>
        </w:tc>
        <w:tc>
          <w:tcPr>
            <w:tcW w:type="dxa" w:w="2000"/>
            <w:tcBorders>
              <w:top w:val="single" w:color="D0D8E8" w:sz="1"/>
              <w:left w:val="single" w:color="D0D8E8" w:sz="1"/>
              <w:bottom w:val="single" w:color="D0D8E8" w:sz="1"/>
              <w:right w:val="single" w:color="D0D8E8" w:sz="1"/>
            </w:tcBorders>
            <w:shd w:fill="EAF2FF" w:val="clear"/>
            <w:tcMar>
              <w:top w:type="dxa" w:w="80"/>
              <w:left w:type="dxa" w:w="120"/>
              <w:bottom w:type="dxa" w:w="80"/>
              <w:right w:type="dxa" w:w="120"/>
            </w:tcMar>
          </w:tcPr>
          <w:p>
            <w:r>
              <w:rPr>
                <w:rFonts w:ascii="Arial" w:cs="Arial" w:eastAsia="Arial" w:hAnsi="Arial"/>
                <w:color w:val="1A1A2E"/>
                <w:sz w:val="18"/>
                <w:szCs w:val="18"/>
              </w:rPr>
              <w:t xml:space="preserve">MVP
(2-4 months)</w:t>
            </w:r>
          </w:p>
        </w:tc>
        <w:tc>
          <w:tcPr>
            <w:tcW w:type="dxa" w:w="3000"/>
            <w:tcBorders>
              <w:top w:val="single" w:color="D0D8E8" w:sz="1"/>
              <w:left w:val="single" w:color="D0D8E8" w:sz="1"/>
              <w:bottom w:val="single" w:color="D0D8E8" w:sz="1"/>
              <w:right w:val="single" w:color="D0D8E8" w:sz="1"/>
            </w:tcBorders>
            <w:shd w:fill="EAF2FF" w:val="clear"/>
            <w:tcMar>
              <w:top w:type="dxa" w:w="80"/>
              <w:left w:type="dxa" w:w="120"/>
              <w:bottom w:type="dxa" w:w="80"/>
              <w:right w:type="dxa" w:w="120"/>
            </w:tcMar>
          </w:tcPr>
          <w:p>
            <w:r>
              <w:rPr>
                <w:rFonts w:ascii="Arial" w:cs="Arial" w:eastAsia="Arial" w:hAnsi="Arial"/>
                <w:color w:val="1A1A2E"/>
                <w:sz w:val="18"/>
                <w:szCs w:val="18"/>
              </w:rPr>
              <w:t xml:space="preserve">Beta Launch</w:t>
            </w:r>
          </w:p>
        </w:tc>
        <w:tc>
          <w:tcPr>
            <w:tcW w:type="dxa" w:w="2860"/>
            <w:tcBorders>
              <w:top w:val="single" w:color="D0D8E8" w:sz="1"/>
              <w:left w:val="single" w:color="D0D8E8" w:sz="1"/>
              <w:bottom w:val="single" w:color="D0D8E8" w:sz="1"/>
              <w:right w:val="single" w:color="D0D8E8" w:sz="1"/>
            </w:tcBorders>
            <w:shd w:fill="EAF2FF" w:val="clear"/>
            <w:tcMar>
              <w:top w:type="dxa" w:w="80"/>
              <w:left w:type="dxa" w:w="120"/>
              <w:bottom w:type="dxa" w:w="80"/>
              <w:right w:type="dxa" w:w="120"/>
            </w:tcMar>
          </w:tcPr>
          <w:p>
            <w:r>
              <w:rPr>
                <w:rFonts w:ascii="Arial" w:cs="Arial" w:eastAsia="Arial" w:hAnsi="Arial"/>
                <w:color w:val="1A1A2E"/>
                <w:sz w:val="18"/>
                <w:szCs w:val="18"/>
              </w:rPr>
              <w:t xml:space="preserve">Real ML models, genetic file upload (23andMe), wearable integration, 3 organ systems, feedback loop, user auth</w:t>
            </w:r>
          </w:p>
        </w:tc>
      </w:tr>
      <w:tr>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Phase 2</w:t>
            </w:r>
          </w:p>
        </w:tc>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Scale
(4-12 months)</w:t>
            </w:r>
          </w:p>
        </w:tc>
        <w:tc>
          <w:tcPr>
            <w:tcW w:type="dxa" w:w="3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Production</w:t>
            </w:r>
          </w:p>
        </w:tc>
        <w:tc>
          <w:tcPr>
            <w:tcW w:type="dxa" w:w="28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Microservices, CI/CD, multi-omics, 100+ compounds, clinician dashboard, B2B API, FHIR integration</w:t>
            </w:r>
          </w:p>
        </w:tc>
      </w:tr>
      <w:tr>
        <w:tc>
          <w:tcPr>
            <w:tcW w:type="dxa" w:w="1500"/>
            <w:tcBorders>
              <w:top w:val="single" w:color="D0D8E8" w:sz="1"/>
              <w:left w:val="single" w:color="D0D8E8" w:sz="1"/>
              <w:bottom w:val="single" w:color="D0D8E8" w:sz="1"/>
              <w:right w:val="single" w:color="D0D8E8" w:sz="1"/>
            </w:tcBorders>
            <w:shd w:fill="EAF2FF" w:val="clear"/>
            <w:tcMar>
              <w:top w:type="dxa" w:w="80"/>
              <w:left w:type="dxa" w:w="120"/>
              <w:bottom w:type="dxa" w:w="80"/>
              <w:right w:type="dxa" w:w="120"/>
            </w:tcMar>
          </w:tcPr>
          <w:p>
            <w:r>
              <w:rPr>
                <w:rFonts w:ascii="Arial" w:cs="Arial" w:eastAsia="Arial" w:hAnsi="Arial"/>
                <w:color w:val="1A1A2E"/>
                <w:sz w:val="18"/>
                <w:szCs w:val="18"/>
              </w:rPr>
              <w:t xml:space="preserve">Phase 3</w:t>
            </w:r>
          </w:p>
        </w:tc>
        <w:tc>
          <w:tcPr>
            <w:tcW w:type="dxa" w:w="2000"/>
            <w:tcBorders>
              <w:top w:val="single" w:color="D0D8E8" w:sz="1"/>
              <w:left w:val="single" w:color="D0D8E8" w:sz="1"/>
              <w:bottom w:val="single" w:color="D0D8E8" w:sz="1"/>
              <w:right w:val="single" w:color="D0D8E8" w:sz="1"/>
            </w:tcBorders>
            <w:shd w:fill="EAF2FF" w:val="clear"/>
            <w:tcMar>
              <w:top w:type="dxa" w:w="80"/>
              <w:left w:type="dxa" w:w="120"/>
              <w:bottom w:type="dxa" w:w="80"/>
              <w:right w:type="dxa" w:w="120"/>
            </w:tcMar>
          </w:tcPr>
          <w:p>
            <w:r>
              <w:rPr>
                <w:rFonts w:ascii="Arial" w:cs="Arial" w:eastAsia="Arial" w:hAnsi="Arial"/>
                <w:color w:val="1A1A2E"/>
                <w:sz w:val="18"/>
                <w:szCs w:val="18"/>
              </w:rPr>
              <w:t xml:space="preserve">Expansion
(12-24 months)</w:t>
            </w:r>
          </w:p>
        </w:tc>
        <w:tc>
          <w:tcPr>
            <w:tcW w:type="dxa" w:w="3000"/>
            <w:tcBorders>
              <w:top w:val="single" w:color="D0D8E8" w:sz="1"/>
              <w:left w:val="single" w:color="D0D8E8" w:sz="1"/>
              <w:bottom w:val="single" w:color="D0D8E8" w:sz="1"/>
              <w:right w:val="single" w:color="D0D8E8" w:sz="1"/>
            </w:tcBorders>
            <w:shd w:fill="EAF2FF" w:val="clear"/>
            <w:tcMar>
              <w:top w:type="dxa" w:w="80"/>
              <w:left w:type="dxa" w:w="120"/>
              <w:bottom w:type="dxa" w:w="80"/>
              <w:right w:type="dxa" w:w="120"/>
            </w:tcMar>
          </w:tcPr>
          <w:p>
            <w:r>
              <w:rPr>
                <w:rFonts w:ascii="Arial" w:cs="Arial" w:eastAsia="Arial" w:hAnsi="Arial"/>
                <w:color w:val="1A1A2E"/>
                <w:sz w:val="18"/>
                <w:szCs w:val="18"/>
              </w:rPr>
              <w:t xml:space="preserve">Platform</w:t>
            </w:r>
          </w:p>
        </w:tc>
        <w:tc>
          <w:tcPr>
            <w:tcW w:type="dxa" w:w="2860"/>
            <w:tcBorders>
              <w:top w:val="single" w:color="D0D8E8" w:sz="1"/>
              <w:left w:val="single" w:color="D0D8E8" w:sz="1"/>
              <w:bottom w:val="single" w:color="D0D8E8" w:sz="1"/>
              <w:right w:val="single" w:color="D0D8E8" w:sz="1"/>
            </w:tcBorders>
            <w:shd w:fill="EAF2FF" w:val="clear"/>
            <w:tcMar>
              <w:top w:type="dxa" w:w="80"/>
              <w:left w:type="dxa" w:w="120"/>
              <w:bottom w:type="dxa" w:w="80"/>
              <w:right w:type="dxa" w:w="120"/>
            </w:tcMar>
          </w:tcPr>
          <w:p>
            <w:r>
              <w:rPr>
                <w:rFonts w:ascii="Arial" w:cs="Arial" w:eastAsia="Arial" w:hAnsi="Arial"/>
                <w:color w:val="1A1A2E"/>
                <w:sz w:val="18"/>
                <w:szCs w:val="18"/>
              </w:rPr>
              <w:t xml:space="preserve">RL optimization agent, athlete module, oncology sub-platform, regulatory compliance (FDA SaMD), multi-region</w:t>
            </w:r>
          </w:p>
        </w:tc>
      </w:tr>
    </w:tbl>
    <w:p>
      <w:pPr>
        <w:spacing w:before="120" w:after="0"/>
      </w:pPr>
    </w:p>
    <w:p>
      <w:pPr>
        <w:pStyle w:val="Heading2"/>
        <w:spacing w:before="320" w:after="120"/>
      </w:pPr>
      <w:r>
        <w:rPr>
          <w:rFonts w:ascii="Arial" w:cs="Arial" w:eastAsia="Arial" w:hAnsi="Arial"/>
          <w:b/>
          <w:bCs/>
          <w:color w:val="16213E"/>
          <w:sz w:val="26"/>
          <w:szCs w:val="26"/>
        </w:rPr>
        <w:t xml:space="preserve">13.1 Hackathon Scope (Phase 0 — 48-72 hours)</w:t>
      </w:r>
    </w:p>
    <w:p>
      <w:pPr>
        <w:spacing w:before="60" w:after="100"/>
      </w:pPr>
      <w:r>
        <w:rPr>
          <w:rFonts w:ascii="Arial" w:cs="Arial" w:eastAsia="Arial" w:hAnsi="Arial"/>
          <w:color w:val="1A1A2E"/>
          <w:sz w:val="22"/>
          <w:szCs w:val="22"/>
        </w:rPr>
        <w:t xml:space="preserve">What is realistically demonstrable:</w:t>
      </w:r>
    </w:p>
    <w:p>
      <w:pPr>
        <w:pStyle w:val="ListParagraph"/>
        <w:numPr>
          <w:ilvl w:val="0"/>
          <w:numId w:val="2"/>
        </w:numPr>
        <w:spacing w:before="40" w:after="60"/>
      </w:pPr>
      <w:r>
        <w:rPr>
          <w:rFonts w:ascii="Arial" w:cs="Arial" w:eastAsia="Arial" w:hAnsi="Arial"/>
          <w:color w:val="1A1A2E"/>
          <w:sz w:val="22"/>
          <w:szCs w:val="22"/>
        </w:rPr>
        <w:t xml:space="preserve">Full web UI: onboarding wizard, regimen entry, dashboard, 5-year trajectory chart.</w:t>
      </w:r>
    </w:p>
    <w:p>
      <w:pPr>
        <w:pStyle w:val="ListParagraph"/>
        <w:numPr>
          <w:ilvl w:val="0"/>
          <w:numId w:val="2"/>
        </w:numPr>
        <w:spacing w:before="40" w:after="60"/>
      </w:pPr>
      <w:r>
        <w:rPr>
          <w:rFonts w:ascii="Arial" w:cs="Arial" w:eastAsia="Arial" w:hAnsi="Arial"/>
          <w:color w:val="1A1A2E"/>
          <w:sz w:val="22"/>
          <w:szCs w:val="22"/>
        </w:rPr>
        <w:t xml:space="preserve">Hybrid rule + ML engine for hepatotoxicity only (liver focus).</w:t>
      </w:r>
    </w:p>
    <w:p>
      <w:pPr>
        <w:pStyle w:val="ListParagraph"/>
        <w:numPr>
          <w:ilvl w:val="0"/>
          <w:numId w:val="2"/>
        </w:numPr>
        <w:spacing w:before="40" w:after="60"/>
      </w:pPr>
      <w:r>
        <w:rPr>
          <w:rFonts w:ascii="Arial" w:cs="Arial" w:eastAsia="Arial" w:hAnsi="Arial"/>
          <w:color w:val="1A1A2E"/>
          <w:sz w:val="22"/>
          <w:szCs w:val="22"/>
        </w:rPr>
        <w:t xml:space="preserve">Support 10-15 common compounds: Metformin, Omega-3, Vitamin D, Ashwagandha, NAC, Magnesium, Zinc, Quercetin, Berberine, Statins, SSRIs.</w:t>
      </w:r>
    </w:p>
    <w:p>
      <w:pPr>
        <w:pStyle w:val="ListParagraph"/>
        <w:numPr>
          <w:ilvl w:val="0"/>
          <w:numId w:val="2"/>
        </w:numPr>
        <w:spacing w:before="40" w:after="60"/>
      </w:pPr>
      <w:r>
        <w:rPr>
          <w:rFonts w:ascii="Arial" w:cs="Arial" w:eastAsia="Arial" w:hAnsi="Arial"/>
          <w:color w:val="1A1A2E"/>
          <w:sz w:val="22"/>
          <w:szCs w:val="22"/>
        </w:rPr>
        <w:t xml:space="preserve">Curated rule base from PharmGKB/CPIC for CYP2D6 and CYP2C19.</w:t>
      </w:r>
    </w:p>
    <w:p>
      <w:pPr>
        <w:pStyle w:val="ListParagraph"/>
        <w:numPr>
          <w:ilvl w:val="0"/>
          <w:numId w:val="2"/>
        </w:numPr>
        <w:spacing w:before="40" w:after="60"/>
      </w:pPr>
      <w:r>
        <w:rPr>
          <w:rFonts w:ascii="Arial" w:cs="Arial" w:eastAsia="Arial" w:hAnsi="Arial"/>
          <w:color w:val="1A1A2E"/>
          <w:sz w:val="22"/>
          <w:szCs w:val="22"/>
        </w:rPr>
        <w:t xml:space="preserve">Static or mock trajectory visualization (5-year bar or line chart).</w:t>
      </w:r>
    </w:p>
    <w:p>
      <w:pPr>
        <w:pStyle w:val="ListParagraph"/>
        <w:numPr>
          <w:ilvl w:val="0"/>
          <w:numId w:val="2"/>
        </w:numPr>
        <w:spacing w:before="40" w:after="60"/>
      </w:pPr>
      <w:r>
        <w:rPr>
          <w:rFonts w:ascii="Arial" w:cs="Arial" w:eastAsia="Arial" w:hAnsi="Arial"/>
          <w:color w:val="1A1A2E"/>
          <w:sz w:val="22"/>
          <w:szCs w:val="22"/>
        </w:rPr>
        <w:t xml:space="preserve">Live demo: canonical Priya use case runs end-to-end in &lt;10 seconds.</w:t>
      </w:r>
    </w:p>
    <w:p>
      <w:pPr>
        <w:spacing w:before="80" w:after="0"/>
      </w:pPr>
    </w:p>
    <w:p>
      <w:pPr>
        <w:pStyle w:val="Heading2"/>
        <w:spacing w:before="320" w:after="120"/>
      </w:pPr>
      <w:r>
        <w:rPr>
          <w:rFonts w:ascii="Arial" w:cs="Arial" w:eastAsia="Arial" w:hAnsi="Arial"/>
          <w:b/>
          <w:bCs/>
          <w:color w:val="16213E"/>
          <w:sz w:val="26"/>
          <w:szCs w:val="26"/>
        </w:rPr>
        <w:t xml:space="preserve">13.2 MVP Scope (Phase 1 — 2-4 months)</w:t>
      </w:r>
    </w:p>
    <w:p>
      <w:pPr>
        <w:pStyle w:val="ListParagraph"/>
        <w:numPr>
          <w:ilvl w:val="0"/>
          <w:numId w:val="2"/>
        </w:numPr>
        <w:spacing w:before="40" w:after="60"/>
      </w:pPr>
      <w:r>
        <w:rPr>
          <w:rFonts w:ascii="Arial" w:cs="Arial" w:eastAsia="Arial" w:hAnsi="Arial"/>
          <w:color w:val="1A1A2E"/>
          <w:sz w:val="22"/>
          <w:szCs w:val="22"/>
        </w:rPr>
        <w:t xml:space="preserve">Real ML models: trained DMPNN toxicity model + basic LSTM trajectory predictor.</w:t>
      </w:r>
    </w:p>
    <w:p>
      <w:pPr>
        <w:pStyle w:val="ListParagraph"/>
        <w:numPr>
          <w:ilvl w:val="0"/>
          <w:numId w:val="2"/>
        </w:numPr>
        <w:spacing w:before="40" w:after="60"/>
      </w:pPr>
      <w:r>
        <w:rPr>
          <w:rFonts w:ascii="Arial" w:cs="Arial" w:eastAsia="Arial" w:hAnsi="Arial"/>
          <w:color w:val="1A1A2E"/>
          <w:sz w:val="22"/>
          <w:szCs w:val="22"/>
        </w:rPr>
        <w:t xml:space="preserve">Genetic file upload: 23andMe TSV parsing; CYP450 SNP extraction and annotation.</w:t>
      </w:r>
    </w:p>
    <w:p>
      <w:pPr>
        <w:pStyle w:val="ListParagraph"/>
        <w:numPr>
          <w:ilvl w:val="0"/>
          <w:numId w:val="2"/>
        </w:numPr>
        <w:spacing w:before="40" w:after="60"/>
      </w:pPr>
      <w:r>
        <w:rPr>
          <w:rFonts w:ascii="Arial" w:cs="Arial" w:eastAsia="Arial" w:hAnsi="Arial"/>
          <w:color w:val="1A1A2E"/>
          <w:sz w:val="22"/>
          <w:szCs w:val="22"/>
        </w:rPr>
        <w:t xml:space="preserve">Wearable integration: Fitbit API + Apple Health export.</w:t>
      </w:r>
    </w:p>
    <w:p>
      <w:pPr>
        <w:pStyle w:val="ListParagraph"/>
        <w:numPr>
          <w:ilvl w:val="0"/>
          <w:numId w:val="2"/>
        </w:numPr>
        <w:spacing w:before="40" w:after="60"/>
      </w:pPr>
      <w:r>
        <w:rPr>
          <w:rFonts w:ascii="Arial" w:cs="Arial" w:eastAsia="Arial" w:hAnsi="Arial"/>
          <w:color w:val="1A1A2E"/>
          <w:sz w:val="22"/>
          <w:szCs w:val="22"/>
        </w:rPr>
        <w:t xml:space="preserve">Three organ systems: liver, kidney, cardiovascular.</w:t>
      </w:r>
    </w:p>
    <w:p>
      <w:pPr>
        <w:pStyle w:val="ListParagraph"/>
        <w:numPr>
          <w:ilvl w:val="0"/>
          <w:numId w:val="2"/>
        </w:numPr>
        <w:spacing w:before="40" w:after="60"/>
      </w:pPr>
      <w:r>
        <w:rPr>
          <w:rFonts w:ascii="Arial" w:cs="Arial" w:eastAsia="Arial" w:hAnsi="Arial"/>
          <w:color w:val="1A1A2E"/>
          <w:sz w:val="22"/>
          <w:szCs w:val="22"/>
        </w:rPr>
        <w:t xml:space="preserve">User accounts, feedback loop, before/after comparison.</w:t>
      </w:r>
    </w:p>
    <w:p>
      <w:pPr>
        <w:pStyle w:val="ListParagraph"/>
        <w:numPr>
          <w:ilvl w:val="0"/>
          <w:numId w:val="2"/>
        </w:numPr>
        <w:spacing w:before="40" w:after="60"/>
      </w:pPr>
      <w:r>
        <w:rPr>
          <w:rFonts w:ascii="Arial" w:cs="Arial" w:eastAsia="Arial" w:hAnsi="Arial"/>
          <w:color w:val="1A1A2E"/>
          <w:sz w:val="22"/>
          <w:szCs w:val="22"/>
        </w:rPr>
        <w:t xml:space="preserve">Beta access for 100-500 users; collect outcomes data.</w:t>
      </w:r>
    </w:p>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14.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Category</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Requirement</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Target</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Performance</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End-to-end analysis latency</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&lt; 5 seconds for dashboard; &lt; 15s for full trajectory</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Performance</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API response time (p99)</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&lt; 200ms for read endpoints; &lt; 500ms for write endpoints</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Scalability</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Concurrent users</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10,000 concurrent sessions at MVP; 1M at Phase 2</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Reliability</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Uptime SLA</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99.9% for API; 99.5% for AI inference services</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ML Accuracy</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Toxicity event prediction AUC</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&gt; 0.85 on held-out test set</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ML Accuracy</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Organ function trajectory MAE</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&lt; 10% relative error at 5-year horizon</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ML Accuracy</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Recommendation adoption rate</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&gt; 40% in pilot cohort (proxy for usefulness)</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Security</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Pen testing cadence</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Quarterly external pen test; continuous automated scanning</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Data Retention</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User data deletion</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&lt; 72 hours for full erasure on request (GDPR Art. 17)</w:t>
            </w:r>
          </w:p>
        </w:tc>
      </w:tr>
      <w:tr>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Observability</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Prediction audit log retention</w:t>
            </w:r>
          </w:p>
        </w:tc>
        <w:tc>
          <w:tcPr>
            <w:tcW w:type="dxa" w:w="312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7 years (HIPAA minimum); immutable</w:t>
            </w:r>
          </w:p>
        </w:tc>
      </w:tr>
      <w:tr>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Explainability</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Coverage</w:t>
            </w:r>
          </w:p>
        </w:tc>
        <w:tc>
          <w:tcPr>
            <w:tcW w:type="dxa" w:w="312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100% of predictions have associated SHAP/attention artifact</w:t>
            </w:r>
          </w:p>
        </w:tc>
      </w:tr>
    </w:tbl>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Risk</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Likelihood</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Impact</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Mitigation</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Model hallucination / overconfident incorrect predictions leading to harm</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Medium</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Critical</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Confidence thresholds; conservative defaults below 70%; mandatory medical disclaimer; clinician review tier</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Genetic data breach</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Low</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Critical</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Encryption at rest + transit; access logging; genetic data isolation; breach response plan</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Regulatory classification as SaMD requiring FDA clearance</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Medium</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High</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Wellness-framing MVP (not diagnostic claims); legal review before launch; Phase 3 FDA strategy</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Insufficient training data for rare genotypes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High</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Medium</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Synthetic augmentation; uncertainty flagging for rare variants; transfer learning from adjacent datasets</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User trust in AI health predictions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Medium</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High</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Full explainability; evidence citations; conservative language; clinician endorsement program</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CPIC/PharmGKB data becoming outdated</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Low</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Medium</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Automated weekly sync pipeline; version-locked knowledge base with diff alerts</w:t>
            </w:r>
          </w:p>
        </w:tc>
      </w:tr>
      <w:tr>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Wearable API changes breaking integrations</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Medium</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Low</w:t>
            </w:r>
          </w:p>
        </w:tc>
        <w:tc>
          <w:tcPr>
            <w:tcW w:type="dxa" w:w="234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Abstraction layer; graceful degradation to manual entry if API unavailable</w:t>
            </w:r>
          </w:p>
        </w:tc>
      </w:tr>
      <w:tr>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RL optimizer suggesting unsafe regimens</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Low</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Critical</w:t>
            </w:r>
          </w:p>
        </w:tc>
        <w:tc>
          <w:tcPr>
            <w:tcW w:type="dxa" w:w="234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Hard constraint action masking; safety critic; all recommendations reviewed against contraindication database before surfacing</w:t>
            </w:r>
          </w:p>
        </w:tc>
      </w:tr>
    </w:tbl>
    <w:p>
      <w:pPr>
        <w:spacing w:before="200" w:after="0"/>
      </w:pPr>
    </w:p>
    <w:p>
      <w:r>
        <w:br w:type="page"/>
      </w:r>
    </w:p>
    <w:p>
      <w:pPr>
        <w:pStyle w:val="Heading1"/>
        <w:pBdr>
          <w:bottom w:val="single" w:color="E94560" w:sz="8" w:space="4"/>
        </w:pBdr>
        <w:spacing w:before="400" w:after="160"/>
      </w:pPr>
      <w:r>
        <w:rPr>
          <w:rFonts w:ascii="Arial" w:cs="Arial" w:eastAsia="Arial" w:hAnsi="Arial"/>
          <w:b/>
          <w:bCs/>
          <w:color w:val="0F3460"/>
          <w:sz w:val="34"/>
          <w:szCs w:val="34"/>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Term</w:t>
            </w:r>
          </w:p>
        </w:tc>
        <w:tc>
          <w:tcPr>
            <w:tcW w:type="dxa" w:w="468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Definition</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Biological Age</w:t>
            </w:r>
          </w:p>
        </w:tc>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An estimate of how old a person's body appears physiologically, which may differ from chronological age based on genetics, lifestyle, and health status.</w:t>
            </w:r>
          </w:p>
        </w:tc>
      </w:tr>
      <w:tr>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CYP450</w:t>
            </w:r>
          </w:p>
        </w:tc>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Cytochrome P450 enzyme family responsible for metabolizing the majority of drugs and supplements in the liver. Genetic variants alter metabolism rates.</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CPIC</w:t>
            </w:r>
          </w:p>
        </w:tc>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Clinical Pharmacogenomics Implementation Consortium — provides evidence-based guidelines for using genetic information to guide drug prescribing.</w:t>
            </w:r>
          </w:p>
        </w:tc>
      </w:tr>
      <w:tr>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DILI</w:t>
            </w:r>
          </w:p>
        </w:tc>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Drug-Induced Liver Injury — hepatotoxicity caused by a drug or supplement.</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Digital Twin</w:t>
            </w:r>
          </w:p>
        </w:tc>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 dynamic computational model of an individual patient that simulates their physiology over time given inputs (genetics, lifestyle, medications).</w:t>
            </w:r>
          </w:p>
        </w:tc>
      </w:tr>
      <w:tr>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DMPNN</w:t>
            </w:r>
          </w:p>
        </w:tc>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Directed Message Passing Neural Network — a GNN variant designed for molecular property prediction using atomic graphs of molecular structures.</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eGFR</w:t>
            </w:r>
          </w:p>
        </w:tc>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Estimated Glomerular Filtration Rate — primary lab marker for kidney function; declines with kidney damage.</w:t>
            </w:r>
          </w:p>
        </w:tc>
      </w:tr>
      <w:tr>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FHIR</w:t>
            </w:r>
          </w:p>
        </w:tc>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Fast Healthcare Interoperability Resources — a standard for exchanging healthcare information electronically (HL7 FHIR R4).</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GAT</w:t>
            </w:r>
          </w:p>
        </w:tc>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Graph Attention Network — a type of GNN that uses attention mechanisms to weight the importance of neighbor nodes in a graph.</w:t>
            </w:r>
          </w:p>
        </w:tc>
      </w:tr>
      <w:tr>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GNN</w:t>
            </w:r>
          </w:p>
        </w:tc>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Graph Neural Network — a class of neural networks that operate directly on graph-structured data (nodes + edges).</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Healthspan</w:t>
            </w:r>
          </w:p>
        </w:tc>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The period of life spent in good health, free from chronic disease and disability — the target metric EIRION optimizes.</w:t>
            </w:r>
          </w:p>
        </w:tc>
      </w:tr>
      <w:tr>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NHANES</w:t>
            </w:r>
          </w:p>
        </w:tc>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National Health and Nutrition Examination Survey — US population health data including labs, lifestyle, and genetics.</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PharmGKB</w:t>
            </w:r>
          </w:p>
        </w:tc>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Pharmacogenomics Knowledgebase — curated database of relationships between genetic variants and drug responses.</w:t>
            </w:r>
          </w:p>
        </w:tc>
      </w:tr>
      <w:tr>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Polypharmacy</w:t>
            </w:r>
          </w:p>
        </w:tc>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The concurrent use of multiple medications or supplements; increases risk of interactions and adverse effects.</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PPO / SAC</w:t>
            </w:r>
          </w:p>
        </w:tc>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Proximal Policy Optimization / Soft Actor-Critic — deep reinforcement learning algorithms used to train the regimen optimization agent.</w:t>
            </w:r>
          </w:p>
        </w:tc>
      </w:tr>
      <w:tr>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SaMD</w:t>
            </w:r>
          </w:p>
        </w:tc>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Software as a Medical Device — software intended to be used for medical purposes without being part of a hardware medical device (FDA classification).</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SHAP</w:t>
            </w:r>
          </w:p>
        </w:tc>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SHapley Additive exPlanations — a method for explaining individual model predictions by computing feature contribution scores.</w:t>
            </w:r>
          </w:p>
        </w:tc>
      </w:tr>
      <w:tr>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SMILES</w:t>
            </w:r>
          </w:p>
        </w:tc>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Simplified Molecular Input Line Entry System — a notation for representing molecular structures as text strings, used as model input.</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TFT</w:t>
            </w:r>
          </w:p>
        </w:tc>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Temporal Fusion Transformer — a deep learning architecture for multi-horizon time-series forecasting with interpretable attention.</w:t>
            </w:r>
          </w:p>
        </w:tc>
      </w:tr>
      <w:tr>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ToxCast</w:t>
            </w:r>
          </w:p>
        </w:tc>
        <w:tc>
          <w:tcPr>
            <w:tcW w:type="dxa" w:w="4680"/>
            <w:tcBorders>
              <w:top w:val="single" w:color="D0D8E8" w:sz="1"/>
              <w:left w:val="single" w:color="D0D8E8" w:sz="1"/>
              <w:bottom w:val="single" w:color="D0D8E8" w:sz="1"/>
              <w:right w:val="single" w:color="D0D8E8" w:sz="1"/>
            </w:tcBorders>
            <w:shd w:fill="EAF2FF" w:val="clear"/>
            <w:tcMar>
              <w:top w:type="dxa" w:w="80"/>
              <w:left w:type="dxa" w:w="160"/>
              <w:bottom w:type="dxa" w:w="80"/>
              <w:right w:type="dxa" w:w="160"/>
            </w:tcMar>
          </w:tcPr>
          <w:p>
            <w:r>
              <w:rPr>
                <w:rFonts w:ascii="Arial" w:cs="Arial" w:eastAsia="Arial" w:hAnsi="Arial"/>
                <w:color w:val="1A1A2E"/>
                <w:sz w:val="19"/>
                <w:szCs w:val="19"/>
              </w:rPr>
              <w:t xml:space="preserve">EPA's Toxicity Forecaster program providing high-throughput screening data for thousands of chemicals across hundreds of bioassays.</w:t>
            </w:r>
          </w:p>
        </w:tc>
      </w:tr>
      <w:tr>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Withanolide</w:t>
            </w:r>
          </w:p>
        </w:tc>
        <w:tc>
          <w:tcPr>
            <w:tcW w:type="dxa" w:w="46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Active chemical compounds in Ashwagandha (Withania somnifera) responsible for both its therapeutic effects and potential hepatotoxicity at accumulation.</w:t>
            </w:r>
          </w:p>
        </w:tc>
      </w:tr>
    </w:tbl>
    <w:p>
      <w:pPr>
        <w:spacing w:before="120" w:after="0"/>
      </w:pPr>
    </w:p>
    <w:p>
      <w:pPr>
        <w:pBdr>
          <w:bottom w:val="single" w:color="D0D8E8" w:sz="4"/>
        </w:pBdr>
        <w:spacing w:before="200" w:after="200"/>
      </w:pPr>
    </w:p>
    <w:p>
      <w:pPr>
        <w:spacing w:before="120" w:after="120"/>
        <w:jc w:val="center"/>
      </w:pPr>
      <w:r>
        <w:rPr>
          <w:rFonts w:ascii="Arial" w:cs="Arial" w:eastAsia="Arial" w:hAnsi="Arial"/>
          <w:i/>
          <w:iCs/>
          <w:color w:val="5A6A8A"/>
          <w:sz w:val="18"/>
          <w:szCs w:val="18"/>
        </w:rPr>
        <w:t xml:space="preserve">EIRION — Confidential Technical Documentation | v0.1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4"/>
      </w:pBdr>
      <w:jc w:val="center"/>
    </w:pPr>
    <w:r>
      <w:rPr>
        <w:rFonts w:ascii="Arial" w:cs="Arial" w:eastAsia="Arial" w:hAnsi="Arial"/>
        <w:color w:val="5A6A8A"/>
        <w:sz w:val="18"/>
        <w:szCs w:val="18"/>
      </w:rPr>
      <w:t xml:space="preserve">EIRION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8" w:sz="4"/>
      </w:pBdr>
      <w:jc w:val="right"/>
    </w:pPr>
    <w:r>
      <w:rPr>
        <w:rFonts w:ascii="Arial" w:cs="Arial" w:eastAsia="Arial" w:hAnsi="Arial"/>
        <w:i/>
        <w:iCs/>
        <w:color w:val="5A6A8A"/>
        <w:sz w:val="18"/>
        <w:szCs w:val="18"/>
      </w:rPr>
      <w:t xml:space="preserve">EIRION — AI Longevity Platform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3460"/>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A8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2026-03-28T07:09:51.681Z</dcterms:created>
  <dcterms:modified xsi:type="dcterms:W3CDTF">2026-03-28T07:09:51.682Z</dcterms:modified>
</cp:coreProperties>
</file>

<file path=docProps/custom.xml><?xml version="1.0" encoding="utf-8"?>
<Properties xmlns="http://schemas.openxmlformats.org/officeDocument/2006/custom-properties" xmlns:vt="http://schemas.openxmlformats.org/officeDocument/2006/docPropsVTypes"/>
</file>