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1109" w14:textId="77777777" w:rsidR="006709A5" w:rsidRDefault="006709A5" w:rsidP="00583FC6">
      <w:pPr>
        <w:jc w:val="center"/>
        <w:rPr>
          <w:rFonts w:ascii="Times New Roman" w:hAnsi="Times New Roman" w:cs="Times New Roman"/>
          <w:b/>
          <w:bCs/>
          <w:sz w:val="40"/>
          <w:szCs w:val="40"/>
        </w:rPr>
      </w:pPr>
      <w:proofErr w:type="spellStart"/>
      <w:r w:rsidRPr="00583FC6">
        <w:rPr>
          <w:rFonts w:ascii="Times New Roman" w:hAnsi="Times New Roman" w:cs="Times New Roman"/>
          <w:b/>
          <w:bCs/>
          <w:sz w:val="40"/>
          <w:szCs w:val="40"/>
        </w:rPr>
        <w:t>TiRex</w:t>
      </w:r>
      <w:proofErr w:type="spellEnd"/>
      <w:r w:rsidRPr="00583FC6">
        <w:rPr>
          <w:rFonts w:ascii="Times New Roman" w:hAnsi="Times New Roman" w:cs="Times New Roman"/>
          <w:b/>
          <w:bCs/>
          <w:sz w:val="40"/>
          <w:szCs w:val="40"/>
        </w:rPr>
        <w:t>-DHS: Improving the Computational Efficiency of TiRex-2 Through Dynamic Horizon-Aware Sparse Covariate Selection</w:t>
      </w:r>
    </w:p>
    <w:p w14:paraId="67384DDE" w14:textId="77777777" w:rsidR="00583FC6" w:rsidRPr="00583FC6" w:rsidRDefault="00583FC6" w:rsidP="00583FC6">
      <w:pPr>
        <w:jc w:val="center"/>
        <w:rPr>
          <w:rFonts w:ascii="Times New Roman" w:hAnsi="Times New Roman" w:cs="Times New Roman"/>
          <w:b/>
          <w:bCs/>
          <w:sz w:val="40"/>
          <w:szCs w:val="40"/>
        </w:rPr>
      </w:pPr>
    </w:p>
    <w:p w14:paraId="6CF6FC09" w14:textId="77777777" w:rsidR="006709A5" w:rsidRPr="00583FC6" w:rsidRDefault="006709A5" w:rsidP="006709A5">
      <w:pPr>
        <w:rPr>
          <w:rFonts w:ascii="Times New Roman" w:hAnsi="Times New Roman" w:cs="Times New Roman"/>
          <w:b/>
          <w:bCs/>
          <w:sz w:val="32"/>
          <w:szCs w:val="32"/>
        </w:rPr>
      </w:pPr>
      <w:r w:rsidRPr="00583FC6">
        <w:rPr>
          <w:rFonts w:ascii="Times New Roman" w:hAnsi="Times New Roman" w:cs="Times New Roman"/>
          <w:b/>
          <w:bCs/>
          <w:sz w:val="32"/>
          <w:szCs w:val="32"/>
        </w:rPr>
        <w:t>Research background</w:t>
      </w:r>
    </w:p>
    <w:p w14:paraId="5A2FD37D"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Time-series forecasting predicts future values using historical observations. It is used in electricity-demand prediction, weather forecasting, finance, industrial monitoring, and resource planning.</w:t>
      </w:r>
    </w:p>
    <w:p w14:paraId="3220A7FE" w14:textId="7618EAD5" w:rsidR="006709A5" w:rsidRPr="00583FC6" w:rsidRDefault="006709A5" w:rsidP="006709A5">
      <w:pPr>
        <w:rPr>
          <w:rFonts w:ascii="Times New Roman" w:hAnsi="Times New Roman" w:cs="Times New Roman"/>
        </w:rPr>
      </w:pPr>
      <w:r w:rsidRPr="00583FC6">
        <w:rPr>
          <w:rFonts w:ascii="Times New Roman" w:hAnsi="Times New Roman" w:cs="Times New Roman"/>
        </w:rPr>
        <w:t xml:space="preserve">TiRex-2 is a pretrained time-series foundation model. In your experimental setup, it processes the target series and all 100 additional covariate series through its 12 model blocks. The model's weights remain frozen; only the proposed selector is trained. </w:t>
      </w:r>
    </w:p>
    <w:p w14:paraId="29D97857"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A covariate is an additional variable that may help predict the target. For example, when forecasting electricity demand, other customers' electricity consumption can be included as covariates.</w:t>
      </w:r>
    </w:p>
    <w:p w14:paraId="16EA7CDF" w14:textId="77777777" w:rsidR="006709A5" w:rsidRDefault="006709A5" w:rsidP="006709A5">
      <w:pPr>
        <w:rPr>
          <w:rFonts w:ascii="Times New Roman" w:hAnsi="Times New Roman" w:cs="Times New Roman"/>
        </w:rPr>
      </w:pPr>
      <w:r w:rsidRPr="00583FC6">
        <w:rPr>
          <w:rFonts w:ascii="Times New Roman" w:hAnsi="Times New Roman" w:cs="Times New Roman"/>
        </w:rPr>
        <w:t>However, not every covariate necessarily provides useful information. Processing unnecessary series consumes computational resources, and a variable's usefulness may differ between short-term and long-term forecasts.</w:t>
      </w:r>
    </w:p>
    <w:p w14:paraId="6721D160" w14:textId="77777777" w:rsidR="00583FC6" w:rsidRPr="00583FC6" w:rsidRDefault="00583FC6" w:rsidP="006709A5">
      <w:pPr>
        <w:rPr>
          <w:rFonts w:ascii="Times New Roman" w:hAnsi="Times New Roman" w:cs="Times New Roman"/>
        </w:rPr>
      </w:pPr>
    </w:p>
    <w:p w14:paraId="02398889" w14:textId="77777777" w:rsidR="006709A5" w:rsidRPr="00583FC6" w:rsidRDefault="006709A5" w:rsidP="006709A5">
      <w:pPr>
        <w:rPr>
          <w:rFonts w:ascii="Times New Roman" w:hAnsi="Times New Roman" w:cs="Times New Roman"/>
          <w:b/>
          <w:bCs/>
          <w:sz w:val="32"/>
          <w:szCs w:val="32"/>
        </w:rPr>
      </w:pPr>
      <w:r w:rsidRPr="00583FC6">
        <w:rPr>
          <w:rFonts w:ascii="Times New Roman" w:hAnsi="Times New Roman" w:cs="Times New Roman"/>
          <w:b/>
          <w:bCs/>
          <w:sz w:val="32"/>
          <w:szCs w:val="32"/>
        </w:rPr>
        <w:t>Problem statement</w:t>
      </w:r>
    </w:p>
    <w:p w14:paraId="7437A7AA"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TiRex-2 processes the input time series supplied to it through its forecasting architecture. When many covariates are provided, some may contribute little additional predictive information while still increasing computational cost.</w:t>
      </w:r>
    </w:p>
    <w:p w14:paraId="162811EF"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The research problem is to determine whether a lightweight, dynamic, horizon-aware covariate selection mechanism can reduce the computation required by TiRex-2 while maintaining comparable forecasting accuracy and uncertainty calibration across different prediction horizons.</w:t>
      </w:r>
    </w:p>
    <w:p w14:paraId="1A44BAE5" w14:textId="77777777" w:rsidR="006709A5" w:rsidRPr="00583FC6" w:rsidRDefault="006709A5" w:rsidP="006709A5">
      <w:pPr>
        <w:rPr>
          <w:rFonts w:ascii="Times New Roman" w:hAnsi="Times New Roman" w:cs="Times New Roman"/>
          <w:b/>
          <w:bCs/>
        </w:rPr>
      </w:pPr>
      <w:r w:rsidRPr="00583FC6">
        <w:rPr>
          <w:rFonts w:ascii="Times New Roman" w:hAnsi="Times New Roman" w:cs="Times New Roman"/>
          <w:b/>
          <w:bCs/>
        </w:rPr>
        <w:t>Specific problems to investigate</w:t>
      </w:r>
    </w:p>
    <w:p w14:paraId="59C29817" w14:textId="77777777" w:rsidR="006709A5" w:rsidRPr="00583FC6" w:rsidRDefault="006709A5" w:rsidP="006709A5">
      <w:pPr>
        <w:numPr>
          <w:ilvl w:val="0"/>
          <w:numId w:val="1"/>
        </w:numPr>
        <w:rPr>
          <w:rFonts w:ascii="Times New Roman" w:hAnsi="Times New Roman" w:cs="Times New Roman"/>
        </w:rPr>
      </w:pPr>
      <w:r w:rsidRPr="00583FC6">
        <w:rPr>
          <w:rFonts w:ascii="Times New Roman" w:hAnsi="Times New Roman" w:cs="Times New Roman"/>
          <w:b/>
          <w:bCs/>
        </w:rPr>
        <w:t xml:space="preserve">Unnecessary computation: </w:t>
      </w:r>
      <w:r w:rsidRPr="00583FC6">
        <w:rPr>
          <w:rFonts w:ascii="Times New Roman" w:hAnsi="Times New Roman" w:cs="Times New Roman"/>
        </w:rPr>
        <w:t>All supplied covariates are processed in the baseline, including variables that may provide little predictive value.</w:t>
      </w:r>
    </w:p>
    <w:p w14:paraId="19518D57" w14:textId="77777777" w:rsidR="006709A5" w:rsidRPr="00583FC6" w:rsidRDefault="006709A5" w:rsidP="006709A5">
      <w:pPr>
        <w:numPr>
          <w:ilvl w:val="0"/>
          <w:numId w:val="1"/>
        </w:numPr>
        <w:rPr>
          <w:rFonts w:ascii="Times New Roman" w:hAnsi="Times New Roman" w:cs="Times New Roman"/>
        </w:rPr>
      </w:pPr>
      <w:r w:rsidRPr="00583FC6">
        <w:rPr>
          <w:rFonts w:ascii="Times New Roman" w:hAnsi="Times New Roman" w:cs="Times New Roman"/>
          <w:b/>
          <w:bCs/>
        </w:rPr>
        <w:t>Changing relevance:</w:t>
      </w:r>
      <w:r w:rsidRPr="00583FC6">
        <w:rPr>
          <w:rFonts w:ascii="Times New Roman" w:hAnsi="Times New Roman" w:cs="Times New Roman"/>
        </w:rPr>
        <w:t xml:space="preserve"> The usefulness of a covariate may depend on the current input context and the forecast horizon.</w:t>
      </w:r>
    </w:p>
    <w:p w14:paraId="68A7F40E" w14:textId="77777777" w:rsidR="006709A5" w:rsidRPr="00583FC6" w:rsidRDefault="006709A5" w:rsidP="006709A5">
      <w:pPr>
        <w:numPr>
          <w:ilvl w:val="0"/>
          <w:numId w:val="1"/>
        </w:numPr>
        <w:rPr>
          <w:rFonts w:ascii="Times New Roman" w:hAnsi="Times New Roman" w:cs="Times New Roman"/>
        </w:rPr>
      </w:pPr>
      <w:r w:rsidRPr="00583FC6">
        <w:rPr>
          <w:rFonts w:ascii="Times New Roman" w:hAnsi="Times New Roman" w:cs="Times New Roman"/>
          <w:b/>
          <w:bCs/>
        </w:rPr>
        <w:t>Accuracy–efficiency trade-off</w:t>
      </w:r>
      <w:r w:rsidRPr="00583FC6">
        <w:rPr>
          <w:rFonts w:ascii="Times New Roman" w:hAnsi="Times New Roman" w:cs="Times New Roman"/>
        </w:rPr>
        <w:t>: Removing variables may save computation but could also remove useful predictive information.</w:t>
      </w:r>
    </w:p>
    <w:p w14:paraId="0E4AB8CC" w14:textId="77777777" w:rsidR="006709A5" w:rsidRPr="00583FC6" w:rsidRDefault="006709A5" w:rsidP="006709A5">
      <w:pPr>
        <w:numPr>
          <w:ilvl w:val="0"/>
          <w:numId w:val="1"/>
        </w:numPr>
        <w:rPr>
          <w:rFonts w:ascii="Times New Roman" w:hAnsi="Times New Roman" w:cs="Times New Roman"/>
        </w:rPr>
      </w:pPr>
      <w:r w:rsidRPr="00583FC6">
        <w:rPr>
          <w:rFonts w:ascii="Times New Roman" w:hAnsi="Times New Roman" w:cs="Times New Roman"/>
          <w:b/>
          <w:bCs/>
        </w:rPr>
        <w:lastRenderedPageBreak/>
        <w:t>Soft-selection limitation:</w:t>
      </w:r>
      <w:r w:rsidRPr="00583FC6">
        <w:rPr>
          <w:rFonts w:ascii="Times New Roman" w:hAnsi="Times New Roman" w:cs="Times New Roman"/>
        </w:rPr>
        <w:t xml:space="preserve"> Down-weighting a covariate does not necessarily save computation if the model still processes that series.</w:t>
      </w:r>
    </w:p>
    <w:p w14:paraId="63A01950" w14:textId="77777777" w:rsidR="006709A5" w:rsidRDefault="006709A5" w:rsidP="006709A5">
      <w:pPr>
        <w:numPr>
          <w:ilvl w:val="0"/>
          <w:numId w:val="1"/>
        </w:numPr>
        <w:rPr>
          <w:rFonts w:ascii="Times New Roman" w:hAnsi="Times New Roman" w:cs="Times New Roman"/>
        </w:rPr>
      </w:pPr>
      <w:r w:rsidRPr="00583FC6">
        <w:rPr>
          <w:rFonts w:ascii="Times New Roman" w:hAnsi="Times New Roman" w:cs="Times New Roman"/>
          <w:b/>
          <w:bCs/>
        </w:rPr>
        <w:t>Generalizability</w:t>
      </w:r>
      <w:r w:rsidRPr="00583FC6">
        <w:rPr>
          <w:rFonts w:ascii="Times New Roman" w:hAnsi="Times New Roman" w:cs="Times New Roman"/>
        </w:rPr>
        <w:t>: A selector that removes all covariates on one dataset may not identify useful variables on other datasets.</w:t>
      </w:r>
    </w:p>
    <w:p w14:paraId="19C0E45B" w14:textId="77777777" w:rsidR="00583FC6" w:rsidRPr="00583FC6" w:rsidRDefault="00583FC6" w:rsidP="00583FC6">
      <w:pPr>
        <w:ind w:left="360"/>
        <w:rPr>
          <w:rFonts w:ascii="Times New Roman" w:hAnsi="Times New Roman" w:cs="Times New Roman"/>
        </w:rPr>
      </w:pPr>
    </w:p>
    <w:p w14:paraId="37ED2A2C" w14:textId="34BD70DC" w:rsidR="006709A5" w:rsidRPr="00583FC6" w:rsidRDefault="006709A5" w:rsidP="00583F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583FC6">
        <w:rPr>
          <w:rFonts w:ascii="Times New Roman" w:eastAsia="Times New Roman" w:hAnsi="Times New Roman" w:cs="Times New Roman"/>
          <w:b/>
          <w:bCs/>
          <w:kern w:val="0"/>
          <w:sz w:val="32"/>
          <w:szCs w:val="32"/>
          <w14:ligatures w14:val="none"/>
        </w:rPr>
        <w:t>Research gap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6716"/>
      </w:tblGrid>
      <w:tr w:rsidR="006709A5" w:rsidRPr="00583FC6" w14:paraId="49D9C362" w14:textId="77777777" w:rsidTr="00583FC6">
        <w:trPr>
          <w:tblCellSpacing w:w="15" w:type="dxa"/>
        </w:trPr>
        <w:tc>
          <w:tcPr>
            <w:tcW w:w="0" w:type="auto"/>
            <w:vAlign w:val="center"/>
            <w:hideMark/>
          </w:tcPr>
          <w:p w14:paraId="2077B1E1" w14:textId="77777777" w:rsidR="006709A5" w:rsidRPr="00583FC6" w:rsidRDefault="006709A5" w:rsidP="006709A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83FC6">
              <w:rPr>
                <w:rFonts w:ascii="Times New Roman" w:eastAsia="Times New Roman" w:hAnsi="Times New Roman" w:cs="Times New Roman"/>
                <w:b/>
                <w:bCs/>
                <w:kern w:val="0"/>
                <w14:ligatures w14:val="none"/>
              </w:rPr>
              <w:t>Area</w:t>
            </w:r>
          </w:p>
        </w:tc>
        <w:tc>
          <w:tcPr>
            <w:tcW w:w="0" w:type="auto"/>
            <w:vAlign w:val="center"/>
            <w:hideMark/>
          </w:tcPr>
          <w:p w14:paraId="2AEFBAB0" w14:textId="77777777" w:rsidR="006709A5" w:rsidRPr="00583FC6" w:rsidRDefault="006709A5" w:rsidP="006709A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83FC6">
              <w:rPr>
                <w:rFonts w:ascii="Times New Roman" w:eastAsia="Times New Roman" w:hAnsi="Times New Roman" w:cs="Times New Roman"/>
                <w:b/>
                <w:bCs/>
                <w:kern w:val="0"/>
                <w14:ligatures w14:val="none"/>
              </w:rPr>
              <w:t>What needs investigation</w:t>
            </w:r>
          </w:p>
        </w:tc>
      </w:tr>
      <w:tr w:rsidR="006709A5" w:rsidRPr="00583FC6" w14:paraId="464397C7" w14:textId="77777777" w:rsidTr="00583FC6">
        <w:trPr>
          <w:tblCellSpacing w:w="15" w:type="dxa"/>
        </w:trPr>
        <w:tc>
          <w:tcPr>
            <w:tcW w:w="0" w:type="auto"/>
            <w:vAlign w:val="center"/>
            <w:hideMark/>
          </w:tcPr>
          <w:p w14:paraId="42297173"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Covariate relevance</w:t>
            </w:r>
          </w:p>
        </w:tc>
        <w:tc>
          <w:tcPr>
            <w:tcW w:w="0" w:type="auto"/>
            <w:vAlign w:val="center"/>
            <w:hideMark/>
          </w:tcPr>
          <w:p w14:paraId="4AF2235E"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all input series are necessary for accurate forecasts</w:t>
            </w:r>
          </w:p>
        </w:tc>
      </w:tr>
      <w:tr w:rsidR="006709A5" w:rsidRPr="00583FC6" w14:paraId="70F88D61" w14:textId="77777777" w:rsidTr="00583FC6">
        <w:trPr>
          <w:tblCellSpacing w:w="15" w:type="dxa"/>
        </w:trPr>
        <w:tc>
          <w:tcPr>
            <w:tcW w:w="0" w:type="auto"/>
            <w:vAlign w:val="center"/>
            <w:hideMark/>
          </w:tcPr>
          <w:p w14:paraId="2A2283D6"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Horizon awareness</w:t>
            </w:r>
          </w:p>
        </w:tc>
        <w:tc>
          <w:tcPr>
            <w:tcW w:w="0" w:type="auto"/>
            <w:vAlign w:val="center"/>
            <w:hideMark/>
          </w:tcPr>
          <w:p w14:paraId="09287AB8"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the useful covariates change between 7-, 30-, and 60-day forecasts</w:t>
            </w:r>
          </w:p>
        </w:tc>
      </w:tr>
      <w:tr w:rsidR="006709A5" w:rsidRPr="00583FC6" w14:paraId="44188799" w14:textId="77777777" w:rsidTr="00583FC6">
        <w:trPr>
          <w:tblCellSpacing w:w="15" w:type="dxa"/>
        </w:trPr>
        <w:tc>
          <w:tcPr>
            <w:tcW w:w="0" w:type="auto"/>
            <w:vAlign w:val="center"/>
            <w:hideMark/>
          </w:tcPr>
          <w:p w14:paraId="0A54A659"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Computational efficiency</w:t>
            </w:r>
          </w:p>
        </w:tc>
        <w:tc>
          <w:tcPr>
            <w:tcW w:w="0" w:type="auto"/>
            <w:vAlign w:val="center"/>
            <w:hideMark/>
          </w:tcPr>
          <w:p w14:paraId="6C7E4B38"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removing unhelpful series reduces actual runtime, FLOPs, and memory use</w:t>
            </w:r>
          </w:p>
        </w:tc>
      </w:tr>
      <w:tr w:rsidR="006709A5" w:rsidRPr="00583FC6" w14:paraId="552DC5A2" w14:textId="77777777" w:rsidTr="00583FC6">
        <w:trPr>
          <w:tblCellSpacing w:w="15" w:type="dxa"/>
        </w:trPr>
        <w:tc>
          <w:tcPr>
            <w:tcW w:w="0" w:type="auto"/>
            <w:vAlign w:val="center"/>
            <w:hideMark/>
          </w:tcPr>
          <w:p w14:paraId="7C16D3EB"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Accuracy preservation</w:t>
            </w:r>
          </w:p>
        </w:tc>
        <w:tc>
          <w:tcPr>
            <w:tcW w:w="0" w:type="auto"/>
            <w:vAlign w:val="center"/>
            <w:hideMark/>
          </w:tcPr>
          <w:p w14:paraId="12CCC853"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sparse selection maintains forecasting performance within an acceptable margin</w:t>
            </w:r>
          </w:p>
        </w:tc>
      </w:tr>
      <w:tr w:rsidR="006709A5" w:rsidRPr="00583FC6" w14:paraId="2101ED87" w14:textId="77777777" w:rsidTr="00583FC6">
        <w:trPr>
          <w:tblCellSpacing w:w="15" w:type="dxa"/>
        </w:trPr>
        <w:tc>
          <w:tcPr>
            <w:tcW w:w="0" w:type="auto"/>
            <w:vAlign w:val="center"/>
            <w:hideMark/>
          </w:tcPr>
          <w:p w14:paraId="5803BB81"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Selection strategy</w:t>
            </w:r>
          </w:p>
        </w:tc>
        <w:tc>
          <w:tcPr>
            <w:tcW w:w="0" w:type="auto"/>
            <w:vAlign w:val="center"/>
            <w:hideMark/>
          </w:tcPr>
          <w:p w14:paraId="223D3408"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hard removal offers practical advantages over soft gating</w:t>
            </w:r>
          </w:p>
        </w:tc>
      </w:tr>
      <w:tr w:rsidR="006709A5" w:rsidRPr="00583FC6" w14:paraId="52E7AE9C" w14:textId="77777777" w:rsidTr="00583FC6">
        <w:trPr>
          <w:tblCellSpacing w:w="15" w:type="dxa"/>
        </w:trPr>
        <w:tc>
          <w:tcPr>
            <w:tcW w:w="0" w:type="auto"/>
            <w:vAlign w:val="center"/>
            <w:hideMark/>
          </w:tcPr>
          <w:p w14:paraId="6202069E"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Statistical reliability</w:t>
            </w:r>
          </w:p>
        </w:tc>
        <w:tc>
          <w:tcPr>
            <w:tcW w:w="0" w:type="auto"/>
            <w:vAlign w:val="center"/>
            <w:hideMark/>
          </w:tcPr>
          <w:p w14:paraId="02C4CC8B"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observed accuracy differences are meaningful across test windows</w:t>
            </w:r>
          </w:p>
        </w:tc>
      </w:tr>
      <w:tr w:rsidR="006709A5" w:rsidRPr="00583FC6" w14:paraId="16CFEC8E" w14:textId="77777777" w:rsidTr="00583FC6">
        <w:trPr>
          <w:tblCellSpacing w:w="15" w:type="dxa"/>
        </w:trPr>
        <w:tc>
          <w:tcPr>
            <w:tcW w:w="0" w:type="auto"/>
            <w:vAlign w:val="center"/>
            <w:hideMark/>
          </w:tcPr>
          <w:p w14:paraId="1D2286C5"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Generalizability</w:t>
            </w:r>
          </w:p>
        </w:tc>
        <w:tc>
          <w:tcPr>
            <w:tcW w:w="0" w:type="auto"/>
            <w:vAlign w:val="center"/>
            <w:hideMark/>
          </w:tcPr>
          <w:p w14:paraId="5098F3DB" w14:textId="77777777" w:rsidR="006709A5" w:rsidRPr="00583FC6" w:rsidRDefault="006709A5" w:rsidP="006709A5">
            <w:pPr>
              <w:spacing w:before="100" w:beforeAutospacing="1" w:after="100" w:afterAutospacing="1" w:line="240" w:lineRule="auto"/>
              <w:rPr>
                <w:rFonts w:ascii="Times New Roman" w:eastAsia="Times New Roman" w:hAnsi="Times New Roman" w:cs="Times New Roman"/>
                <w:kern w:val="0"/>
                <w14:ligatures w14:val="none"/>
              </w:rPr>
            </w:pPr>
            <w:r w:rsidRPr="00583FC6">
              <w:rPr>
                <w:rFonts w:ascii="Times New Roman" w:eastAsia="Times New Roman" w:hAnsi="Times New Roman" w:cs="Times New Roman"/>
                <w:kern w:val="0"/>
                <w14:ligatures w14:val="none"/>
              </w:rPr>
              <w:t>Whether the method works beyond one electricity-demand dataset</w:t>
            </w:r>
          </w:p>
        </w:tc>
      </w:tr>
    </w:tbl>
    <w:p w14:paraId="71C0D7B1" w14:textId="77777777" w:rsidR="00583FC6" w:rsidRDefault="00583FC6" w:rsidP="006709A5">
      <w:pPr>
        <w:rPr>
          <w:rFonts w:ascii="Times New Roman" w:hAnsi="Times New Roman" w:cs="Times New Roman"/>
          <w:b/>
          <w:bCs/>
        </w:rPr>
      </w:pPr>
    </w:p>
    <w:p w14:paraId="16DF39C1" w14:textId="20C2F1BE" w:rsidR="006709A5" w:rsidRPr="00583FC6" w:rsidRDefault="006709A5" w:rsidP="006709A5">
      <w:pPr>
        <w:rPr>
          <w:rFonts w:ascii="Times New Roman" w:hAnsi="Times New Roman" w:cs="Times New Roman"/>
          <w:b/>
          <w:bCs/>
          <w:sz w:val="32"/>
          <w:szCs w:val="32"/>
        </w:rPr>
      </w:pPr>
      <w:r w:rsidRPr="00583FC6">
        <w:rPr>
          <w:rFonts w:ascii="Times New Roman" w:hAnsi="Times New Roman" w:cs="Times New Roman"/>
          <w:b/>
          <w:bCs/>
          <w:sz w:val="32"/>
          <w:szCs w:val="32"/>
        </w:rPr>
        <w:t>Research questions</w:t>
      </w:r>
    </w:p>
    <w:p w14:paraId="7029770B" w14:textId="77777777" w:rsidR="006709A5" w:rsidRPr="00583FC6" w:rsidRDefault="006709A5" w:rsidP="006709A5">
      <w:pPr>
        <w:rPr>
          <w:rFonts w:ascii="Times New Roman" w:hAnsi="Times New Roman" w:cs="Times New Roman"/>
          <w:b/>
          <w:bCs/>
        </w:rPr>
      </w:pPr>
      <w:r w:rsidRPr="00583FC6">
        <w:rPr>
          <w:rFonts w:ascii="Times New Roman" w:hAnsi="Times New Roman" w:cs="Times New Roman"/>
          <w:b/>
          <w:bCs/>
        </w:rPr>
        <w:t>RQ1 · Primary</w:t>
      </w:r>
    </w:p>
    <w:p w14:paraId="01C8CAE0"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Can dynamic, horizon-aware sparse covariate selection reduce TiRex-2's computational cost while maintaining comparable forecasting accuracy?</w:t>
      </w:r>
    </w:p>
    <w:p w14:paraId="30E8A160" w14:textId="77777777" w:rsidR="006709A5" w:rsidRPr="00583FC6" w:rsidRDefault="006709A5" w:rsidP="006709A5">
      <w:pPr>
        <w:rPr>
          <w:rFonts w:ascii="Times New Roman" w:hAnsi="Times New Roman" w:cs="Times New Roman"/>
          <w:b/>
          <w:bCs/>
        </w:rPr>
      </w:pPr>
      <w:r w:rsidRPr="00583FC6">
        <w:rPr>
          <w:rFonts w:ascii="Times New Roman" w:hAnsi="Times New Roman" w:cs="Times New Roman"/>
          <w:b/>
          <w:bCs/>
        </w:rPr>
        <w:t>RQ2 · Selection strategy</w:t>
      </w:r>
    </w:p>
    <w:p w14:paraId="67839E10" w14:textId="77777777" w:rsidR="006709A5" w:rsidRDefault="006709A5" w:rsidP="006709A5">
      <w:pPr>
        <w:rPr>
          <w:rFonts w:ascii="Times New Roman" w:hAnsi="Times New Roman" w:cs="Times New Roman"/>
        </w:rPr>
      </w:pPr>
      <w:r w:rsidRPr="00583FC6">
        <w:rPr>
          <w:rFonts w:ascii="Times New Roman" w:hAnsi="Times New Roman" w:cs="Times New Roman"/>
        </w:rPr>
        <w:t>How does hard covariate removal compare with soft covariate gating in terms of forecasting accuracy and computational efficiency?</w:t>
      </w:r>
    </w:p>
    <w:p w14:paraId="7277B0DE" w14:textId="77777777" w:rsidR="00C3765B" w:rsidRPr="00583FC6" w:rsidRDefault="00C3765B" w:rsidP="006709A5">
      <w:pPr>
        <w:rPr>
          <w:rFonts w:ascii="Times New Roman" w:hAnsi="Times New Roman" w:cs="Times New Roman"/>
        </w:rPr>
      </w:pPr>
    </w:p>
    <w:p w14:paraId="314850B5" w14:textId="13D60FCE" w:rsidR="006709A5" w:rsidRPr="00C3765B" w:rsidRDefault="006709A5" w:rsidP="006709A5">
      <w:pPr>
        <w:rPr>
          <w:rFonts w:ascii="Times New Roman" w:hAnsi="Times New Roman" w:cs="Times New Roman"/>
          <w:b/>
          <w:bCs/>
          <w:sz w:val="32"/>
          <w:szCs w:val="32"/>
        </w:rPr>
      </w:pPr>
      <w:r w:rsidRPr="00C3765B">
        <w:rPr>
          <w:rFonts w:ascii="Times New Roman" w:hAnsi="Times New Roman" w:cs="Times New Roman"/>
          <w:b/>
          <w:bCs/>
          <w:sz w:val="32"/>
          <w:szCs w:val="32"/>
        </w:rPr>
        <w:t>Null and alternative hypotheses</w:t>
      </w:r>
    </w:p>
    <w:p w14:paraId="3E4D003A"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For the primary efficiency question:</w:t>
      </w:r>
    </w:p>
    <w:p w14:paraId="2B0E8E0F" w14:textId="77777777" w:rsidR="006709A5" w:rsidRPr="00583FC6" w:rsidRDefault="006709A5" w:rsidP="006709A5">
      <w:pPr>
        <w:numPr>
          <w:ilvl w:val="0"/>
          <w:numId w:val="3"/>
        </w:numPr>
        <w:rPr>
          <w:rFonts w:ascii="Times New Roman" w:hAnsi="Times New Roman" w:cs="Times New Roman"/>
        </w:rPr>
      </w:pPr>
      <w:r w:rsidRPr="00583FC6">
        <w:rPr>
          <w:rFonts w:ascii="Times New Roman" w:hAnsi="Times New Roman" w:cs="Times New Roman"/>
        </w:rPr>
        <w:t>H0₁: Hard selection does not reduce computational cost relative to the baseline.</w:t>
      </w:r>
    </w:p>
    <w:p w14:paraId="686C98E2" w14:textId="77777777" w:rsidR="006709A5" w:rsidRPr="00583FC6" w:rsidRDefault="006709A5" w:rsidP="006709A5">
      <w:pPr>
        <w:numPr>
          <w:ilvl w:val="0"/>
          <w:numId w:val="3"/>
        </w:numPr>
        <w:rPr>
          <w:rFonts w:ascii="Times New Roman" w:hAnsi="Times New Roman" w:cs="Times New Roman"/>
        </w:rPr>
      </w:pPr>
      <w:r w:rsidRPr="00583FC6">
        <w:rPr>
          <w:rFonts w:ascii="Times New Roman" w:hAnsi="Times New Roman" w:cs="Times New Roman"/>
        </w:rPr>
        <w:t>H1₁: Hard selection reduces computational cost relative to the baseline.</w:t>
      </w:r>
    </w:p>
    <w:p w14:paraId="2932023A" w14:textId="5FFB05F1" w:rsidR="006709A5" w:rsidRPr="00583FC6" w:rsidRDefault="006709A5" w:rsidP="006709A5">
      <w:pPr>
        <w:rPr>
          <w:rFonts w:ascii="Times New Roman" w:hAnsi="Times New Roman" w:cs="Times New Roman"/>
        </w:rPr>
      </w:pPr>
      <w:r w:rsidRPr="00583FC6">
        <w:rPr>
          <w:rFonts w:ascii="Times New Roman" w:hAnsi="Times New Roman" w:cs="Times New Roman"/>
        </w:rPr>
        <w:t xml:space="preserve">For the accuracy-preservation question, define an acceptable error margin </w:t>
      </w:r>
      <m:oMath>
        <m:r>
          <w:rPr>
            <w:rFonts w:ascii="Cambria Math" w:hAnsi="Cambria Math" w:cs="Times New Roman"/>
          </w:rPr>
          <m:t>δ</m:t>
        </m:r>
      </m:oMath>
      <w:r w:rsidRPr="00583FC6">
        <w:rPr>
          <w:rFonts w:ascii="Times New Roman" w:hAnsi="Times New Roman" w:cs="Times New Roman"/>
        </w:rPr>
        <w:t>in advance:</w:t>
      </w:r>
    </w:p>
    <w:p w14:paraId="7E8C22AA" w14:textId="77777777" w:rsidR="006709A5" w:rsidRPr="00583FC6" w:rsidRDefault="006709A5" w:rsidP="006709A5">
      <w:pPr>
        <w:numPr>
          <w:ilvl w:val="0"/>
          <w:numId w:val="4"/>
        </w:numPr>
        <w:rPr>
          <w:rFonts w:ascii="Times New Roman" w:hAnsi="Times New Roman" w:cs="Times New Roman"/>
        </w:rPr>
      </w:pPr>
      <w:r w:rsidRPr="00583FC6">
        <w:rPr>
          <w:rFonts w:ascii="Times New Roman" w:hAnsi="Times New Roman" w:cs="Times New Roman"/>
        </w:rPr>
        <w:lastRenderedPageBreak/>
        <w:t>H0₂: Hard selection degrades forecasting performance beyond the predefined acceptable margin.</w:t>
      </w:r>
    </w:p>
    <w:p w14:paraId="611ACB6B" w14:textId="77777777" w:rsidR="006709A5" w:rsidRDefault="006709A5" w:rsidP="006709A5">
      <w:pPr>
        <w:numPr>
          <w:ilvl w:val="0"/>
          <w:numId w:val="4"/>
        </w:numPr>
        <w:rPr>
          <w:rFonts w:ascii="Times New Roman" w:hAnsi="Times New Roman" w:cs="Times New Roman"/>
        </w:rPr>
      </w:pPr>
      <w:r w:rsidRPr="00583FC6">
        <w:rPr>
          <w:rFonts w:ascii="Times New Roman" w:hAnsi="Times New Roman" w:cs="Times New Roman"/>
        </w:rPr>
        <w:t>H1₂: Hard selection remains within the predefined acceptable margin.</w:t>
      </w:r>
    </w:p>
    <w:p w14:paraId="26C20FBF" w14:textId="77777777" w:rsidR="00C3765B" w:rsidRPr="00583FC6" w:rsidRDefault="00C3765B" w:rsidP="00C3765B">
      <w:pPr>
        <w:ind w:left="720"/>
        <w:rPr>
          <w:rFonts w:ascii="Times New Roman" w:hAnsi="Times New Roman" w:cs="Times New Roman"/>
        </w:rPr>
      </w:pPr>
    </w:p>
    <w:p w14:paraId="0624496F" w14:textId="77777777" w:rsidR="006709A5" w:rsidRPr="00C3765B" w:rsidRDefault="006709A5" w:rsidP="006709A5">
      <w:pPr>
        <w:rPr>
          <w:rFonts w:ascii="Times New Roman" w:hAnsi="Times New Roman" w:cs="Times New Roman"/>
          <w:b/>
          <w:bCs/>
          <w:sz w:val="32"/>
          <w:szCs w:val="32"/>
        </w:rPr>
      </w:pPr>
      <w:r w:rsidRPr="00C3765B">
        <w:rPr>
          <w:rFonts w:ascii="Times New Roman" w:hAnsi="Times New Roman" w:cs="Times New Roman"/>
          <w:b/>
          <w:bCs/>
          <w:sz w:val="32"/>
          <w:szCs w:val="32"/>
        </w:rPr>
        <w:t>What TiRex-2 already does</w:t>
      </w:r>
    </w:p>
    <w:p w14:paraId="3921E55E"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TiRex-2 has 12 blocks. Every block has two mixers:</w:t>
      </w:r>
    </w:p>
    <w:p w14:paraId="646909E8" w14:textId="77777777" w:rsidR="006709A5" w:rsidRPr="00583FC6" w:rsidRDefault="006709A5" w:rsidP="006709A5">
      <w:pPr>
        <w:numPr>
          <w:ilvl w:val="0"/>
          <w:numId w:val="5"/>
        </w:numPr>
        <w:rPr>
          <w:rFonts w:ascii="Times New Roman" w:hAnsi="Times New Roman" w:cs="Times New Roman"/>
        </w:rPr>
      </w:pPr>
      <w:r w:rsidRPr="00583FC6">
        <w:rPr>
          <w:rFonts w:ascii="Times New Roman" w:hAnsi="Times New Roman" w:cs="Times New Roman"/>
        </w:rPr>
        <w:t xml:space="preserve">Time mixer. A bidirectional </w:t>
      </w:r>
      <w:proofErr w:type="spellStart"/>
      <w:r w:rsidRPr="00583FC6">
        <w:rPr>
          <w:rFonts w:ascii="Times New Roman" w:hAnsi="Times New Roman" w:cs="Times New Roman"/>
        </w:rPr>
        <w:t>xLSTM</w:t>
      </w:r>
      <w:proofErr w:type="spellEnd"/>
      <w:r w:rsidRPr="00583FC6">
        <w:rPr>
          <w:rFonts w:ascii="Times New Roman" w:hAnsi="Times New Roman" w:cs="Times New Roman"/>
        </w:rPr>
        <w:t>. It reads one series at a time and does not look at the other series.</w:t>
      </w:r>
    </w:p>
    <w:p w14:paraId="2CAE036A" w14:textId="77777777" w:rsidR="006709A5" w:rsidRPr="00583FC6" w:rsidRDefault="006709A5" w:rsidP="006709A5">
      <w:pPr>
        <w:numPr>
          <w:ilvl w:val="0"/>
          <w:numId w:val="5"/>
        </w:numPr>
        <w:rPr>
          <w:rFonts w:ascii="Times New Roman" w:hAnsi="Times New Roman" w:cs="Times New Roman"/>
        </w:rPr>
      </w:pPr>
      <w:r w:rsidRPr="00583FC6">
        <w:rPr>
          <w:rFonts w:ascii="Times New Roman" w:hAnsi="Times New Roman" w:cs="Times New Roman"/>
        </w:rPr>
        <w:t>Variate mixer. Attention across series at the same time position.</w:t>
      </w:r>
    </w:p>
    <w:p w14:paraId="2AC5D632"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After block 12 the network applies a stack norm, an output patch embedding, the tokenizer’s output transform, and the scaler’s inverse transform. The postprocessor turns that tensor into the quantile forecast.</w:t>
      </w:r>
    </w:p>
    <w:p w14:paraId="02B70A18"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One forward of plain TiRex-2 produces every horizon. Days 7, 30, and 60 are three positions in the same 60-day forecast.</w:t>
      </w:r>
    </w:p>
    <w:p w14:paraId="430AEA99" w14:textId="77777777" w:rsidR="006709A5" w:rsidRPr="00583FC6" w:rsidRDefault="006709A5" w:rsidP="006709A5">
      <w:pPr>
        <w:rPr>
          <w:rFonts w:ascii="Times New Roman" w:hAnsi="Times New Roman" w:cs="Times New Roman"/>
        </w:rPr>
      </w:pPr>
      <w:r w:rsidRPr="00583FC6">
        <w:rPr>
          <w:rFonts w:ascii="Times New Roman" w:hAnsi="Times New Roman" w:cs="Times New Roman"/>
        </w:rPr>
        <w:t>Work per window: 33 series × 12 blocks = 396 series-blocks.</w:t>
      </w:r>
    </w:p>
    <w:p w14:paraId="067F27B9" w14:textId="7CAE09E9" w:rsidR="006709A5" w:rsidRPr="00583FC6" w:rsidRDefault="006709A5" w:rsidP="00C3765B">
      <w:pPr>
        <w:jc w:val="center"/>
        <w:rPr>
          <w:rFonts w:ascii="Times New Roman" w:hAnsi="Times New Roman" w:cs="Times New Roman"/>
        </w:rPr>
      </w:pPr>
      <w:r w:rsidRPr="00583FC6">
        <w:rPr>
          <w:rFonts w:ascii="Times New Roman" w:hAnsi="Times New Roman" w:cs="Times New Roman"/>
        </w:rPr>
        <w:drawing>
          <wp:inline distT="0" distB="0" distL="0" distR="0" wp14:anchorId="3BBF3372" wp14:editId="4D006A8F">
            <wp:extent cx="3542748" cy="4693920"/>
            <wp:effectExtent l="0" t="0" r="635" b="0"/>
            <wp:docPr id="126565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50988" name=""/>
                    <pic:cNvPicPr/>
                  </pic:nvPicPr>
                  <pic:blipFill>
                    <a:blip r:embed="rId5"/>
                    <a:stretch>
                      <a:fillRect/>
                    </a:stretch>
                  </pic:blipFill>
                  <pic:spPr>
                    <a:xfrm>
                      <a:off x="0" y="0"/>
                      <a:ext cx="3555469" cy="4710775"/>
                    </a:xfrm>
                    <a:prstGeom prst="rect">
                      <a:avLst/>
                    </a:prstGeom>
                  </pic:spPr>
                </pic:pic>
              </a:graphicData>
            </a:graphic>
          </wp:inline>
        </w:drawing>
      </w:r>
    </w:p>
    <w:p w14:paraId="299A9C8F" w14:textId="77777777" w:rsidR="00583FC6" w:rsidRPr="00C3765B" w:rsidRDefault="00583FC6" w:rsidP="00583FC6">
      <w:pPr>
        <w:rPr>
          <w:rFonts w:ascii="Times New Roman" w:hAnsi="Times New Roman" w:cs="Times New Roman"/>
          <w:b/>
          <w:bCs/>
          <w:sz w:val="32"/>
          <w:szCs w:val="32"/>
        </w:rPr>
      </w:pPr>
      <w:r w:rsidRPr="00C3765B">
        <w:rPr>
          <w:rFonts w:ascii="Times New Roman" w:hAnsi="Times New Roman" w:cs="Times New Roman"/>
          <w:b/>
          <w:bCs/>
          <w:sz w:val="32"/>
          <w:szCs w:val="32"/>
        </w:rPr>
        <w:lastRenderedPageBreak/>
        <w:t>1. Formal selector</w:t>
      </w:r>
    </w:p>
    <w:p w14:paraId="2B74DB5D" w14:textId="77777777" w:rsidR="00583FC6" w:rsidRPr="00583FC6" w:rsidRDefault="00583FC6" w:rsidP="00583FC6">
      <w:pPr>
        <w:rPr>
          <w:rFonts w:ascii="Times New Roman" w:hAnsi="Times New Roman" w:cs="Times New Roman"/>
        </w:rPr>
      </w:pPr>
      <w:r w:rsidRPr="00583FC6">
        <w:rPr>
          <w:rFonts w:ascii="Times New Roman" w:hAnsi="Times New Roman" w:cs="Times New Roman"/>
        </w:rPr>
        <w:t xml:space="preserve">The formal selector leaves every series in the tensor. After block 1’s </w:t>
      </w:r>
      <w:proofErr w:type="spellStart"/>
      <w:r w:rsidRPr="00583FC6">
        <w:rPr>
          <w:rFonts w:ascii="Times New Roman" w:hAnsi="Times New Roman" w:cs="Times New Roman"/>
        </w:rPr>
        <w:t>xLSTM</w:t>
      </w:r>
      <w:proofErr w:type="spellEnd"/>
      <w:r w:rsidRPr="00583FC6">
        <w:rPr>
          <w:rFonts w:ascii="Times New Roman" w:hAnsi="Times New Roman" w:cs="Times New Roman"/>
        </w:rPr>
        <w:t xml:space="preserve"> it multiplies unselected series by zero. Blocks 2 through 12 still execute all 33 series. At the entrance of each of those blocks the same zero is applied again, because a later </w:t>
      </w:r>
      <w:proofErr w:type="spellStart"/>
      <w:r w:rsidRPr="00583FC6">
        <w:rPr>
          <w:rFonts w:ascii="Times New Roman" w:hAnsi="Times New Roman" w:cs="Times New Roman"/>
        </w:rPr>
        <w:t>xLSTM</w:t>
      </w:r>
      <w:proofErr w:type="spellEnd"/>
      <w:r w:rsidRPr="00583FC6">
        <w:rPr>
          <w:rFonts w:ascii="Times New Roman" w:hAnsi="Times New Roman" w:cs="Times New Roman"/>
        </w:rPr>
        <w:t xml:space="preserve"> can otherwise revive a channel that was zeroed.</w:t>
      </w:r>
    </w:p>
    <w:p w14:paraId="3D104837" w14:textId="77777777" w:rsidR="00583FC6" w:rsidRPr="00583FC6" w:rsidRDefault="00583FC6" w:rsidP="00583FC6">
      <w:pPr>
        <w:rPr>
          <w:rFonts w:ascii="Times New Roman" w:hAnsi="Times New Roman" w:cs="Times New Roman"/>
        </w:rPr>
      </w:pPr>
      <w:r w:rsidRPr="00583FC6">
        <w:rPr>
          <w:rFonts w:ascii="Times New Roman" w:hAnsi="Times New Roman" w:cs="Times New Roman"/>
        </w:rPr>
        <w:t>The gate depends on the horizon, and the hook sits inside the normal TiRex-2 forward. Each horizon needs its own full forward. Days 7, 30, and 60 are three separate passes over all 12 blocks.</w:t>
      </w:r>
    </w:p>
    <w:p w14:paraId="34AF401F" w14:textId="77777777" w:rsidR="00583FC6" w:rsidRPr="00583FC6" w:rsidRDefault="00583FC6" w:rsidP="00583FC6">
      <w:pPr>
        <w:rPr>
          <w:rFonts w:ascii="Times New Roman" w:hAnsi="Times New Roman" w:cs="Times New Roman"/>
        </w:rPr>
      </w:pPr>
      <w:r w:rsidRPr="00583FC6">
        <w:rPr>
          <w:rFonts w:ascii="Times New Roman" w:hAnsi="Times New Roman" w:cs="Times New Roman"/>
        </w:rPr>
        <w:t>Work per window: 33 × 12 × 3 = 1,188 series-blocks.</w:t>
      </w:r>
    </w:p>
    <w:p w14:paraId="4CDA980C" w14:textId="09E58548" w:rsidR="00583FC6" w:rsidRDefault="00583FC6" w:rsidP="00C3765B">
      <w:pPr>
        <w:jc w:val="center"/>
        <w:rPr>
          <w:rFonts w:ascii="Times New Roman" w:hAnsi="Times New Roman" w:cs="Times New Roman"/>
        </w:rPr>
      </w:pPr>
      <w:r w:rsidRPr="00583FC6">
        <w:rPr>
          <w:rFonts w:ascii="Times New Roman" w:hAnsi="Times New Roman" w:cs="Times New Roman"/>
        </w:rPr>
        <w:drawing>
          <wp:inline distT="0" distB="0" distL="0" distR="0" wp14:anchorId="4536E2F0" wp14:editId="65ACEB79">
            <wp:extent cx="2415749" cy="6248942"/>
            <wp:effectExtent l="0" t="0" r="3810" b="0"/>
            <wp:docPr id="19572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0051" name=""/>
                    <pic:cNvPicPr/>
                  </pic:nvPicPr>
                  <pic:blipFill>
                    <a:blip r:embed="rId6"/>
                    <a:stretch>
                      <a:fillRect/>
                    </a:stretch>
                  </pic:blipFill>
                  <pic:spPr>
                    <a:xfrm>
                      <a:off x="0" y="0"/>
                      <a:ext cx="2415749" cy="6248942"/>
                    </a:xfrm>
                    <a:prstGeom prst="rect">
                      <a:avLst/>
                    </a:prstGeom>
                  </pic:spPr>
                </pic:pic>
              </a:graphicData>
            </a:graphic>
          </wp:inline>
        </w:drawing>
      </w:r>
    </w:p>
    <w:p w14:paraId="26E53ABA" w14:textId="77777777" w:rsidR="00C3765B" w:rsidRPr="00583FC6" w:rsidRDefault="00C3765B" w:rsidP="00C3765B">
      <w:pPr>
        <w:jc w:val="center"/>
        <w:rPr>
          <w:rFonts w:ascii="Times New Roman" w:hAnsi="Times New Roman" w:cs="Times New Roman"/>
        </w:rPr>
      </w:pPr>
    </w:p>
    <w:p w14:paraId="599EC39E" w14:textId="77777777" w:rsidR="00583FC6" w:rsidRPr="00C3765B" w:rsidRDefault="00583FC6" w:rsidP="00583FC6">
      <w:pPr>
        <w:rPr>
          <w:rFonts w:ascii="Times New Roman" w:hAnsi="Times New Roman" w:cs="Times New Roman"/>
          <w:b/>
          <w:bCs/>
          <w:sz w:val="32"/>
          <w:szCs w:val="32"/>
        </w:rPr>
      </w:pPr>
      <w:r w:rsidRPr="00C3765B">
        <w:rPr>
          <w:rFonts w:ascii="Times New Roman" w:hAnsi="Times New Roman" w:cs="Times New Roman"/>
          <w:b/>
          <w:bCs/>
          <w:sz w:val="32"/>
          <w:szCs w:val="32"/>
        </w:rPr>
        <w:lastRenderedPageBreak/>
        <w:t>2. Gather selector, the optimized path</w:t>
      </w:r>
    </w:p>
    <w:p w14:paraId="3AC36CED" w14:textId="77777777" w:rsidR="00583FC6" w:rsidRPr="00583FC6" w:rsidRDefault="00583FC6" w:rsidP="00583FC6">
      <w:pPr>
        <w:rPr>
          <w:rFonts w:ascii="Times New Roman" w:hAnsi="Times New Roman" w:cs="Times New Roman"/>
        </w:rPr>
      </w:pPr>
      <w:r w:rsidRPr="00583FC6">
        <w:rPr>
          <w:rFonts w:ascii="Times New Roman" w:hAnsi="Times New Roman" w:cs="Times New Roman"/>
        </w:rPr>
        <w:t xml:space="preserve">The gather selector deletes the unselected series from the tensor before the rest of the network runs. The first </w:t>
      </w:r>
      <w:proofErr w:type="spellStart"/>
      <w:r w:rsidRPr="00583FC6">
        <w:rPr>
          <w:rFonts w:ascii="Times New Roman" w:hAnsi="Times New Roman" w:cs="Times New Roman"/>
        </w:rPr>
        <w:t>xLSTM</w:t>
      </w:r>
      <w:proofErr w:type="spellEnd"/>
      <w:r w:rsidRPr="00583FC6">
        <w:rPr>
          <w:rFonts w:ascii="Times New Roman" w:hAnsi="Times New Roman" w:cs="Times New Roman"/>
        </w:rPr>
        <w:t xml:space="preserve"> still sees all 33 series, and that output is cached. Each horizon repeats only the cheaper tail, and that tail contains 4 series.</w:t>
      </w:r>
    </w:p>
    <w:p w14:paraId="7636827B" w14:textId="77777777" w:rsidR="00583FC6" w:rsidRPr="00583FC6" w:rsidRDefault="00583FC6" w:rsidP="00583FC6">
      <w:pPr>
        <w:rPr>
          <w:rFonts w:ascii="Times New Roman" w:hAnsi="Times New Roman" w:cs="Times New Roman"/>
        </w:rPr>
      </w:pPr>
      <w:r w:rsidRPr="00583FC6">
        <w:rPr>
          <w:rFonts w:ascii="Times New Roman" w:hAnsi="Times New Roman" w:cs="Times New Roman"/>
        </w:rPr>
        <w:t>Work per window: 33 series through 1 time mixer, then 4 series through the remaining 11 blocks, three times.</w:t>
      </w:r>
    </w:p>
    <w:p w14:paraId="2438A657" w14:textId="77777777" w:rsidR="00583FC6" w:rsidRPr="00583FC6" w:rsidRDefault="00583FC6" w:rsidP="00583FC6">
      <w:pPr>
        <w:rPr>
          <w:rFonts w:ascii="Times New Roman" w:hAnsi="Times New Roman" w:cs="Times New Roman"/>
        </w:rPr>
      </w:pPr>
      <w:r w:rsidRPr="00583FC6">
        <w:rPr>
          <w:rFonts w:ascii="Times New Roman" w:hAnsi="Times New Roman" w:cs="Times New Roman"/>
        </w:rPr>
        <w:t>33 + 4 × 11 × 3 = 165 series-blocks.</w:t>
      </w:r>
    </w:p>
    <w:p w14:paraId="66FCBBB6" w14:textId="6F91C03C" w:rsidR="00583FC6" w:rsidRDefault="00583FC6" w:rsidP="00C3765B">
      <w:pPr>
        <w:jc w:val="center"/>
        <w:rPr>
          <w:rFonts w:ascii="Times New Roman" w:hAnsi="Times New Roman" w:cs="Times New Roman"/>
        </w:rPr>
      </w:pPr>
      <w:r w:rsidRPr="00583FC6">
        <w:rPr>
          <w:rFonts w:ascii="Times New Roman" w:hAnsi="Times New Roman" w:cs="Times New Roman"/>
        </w:rPr>
        <w:drawing>
          <wp:inline distT="0" distB="0" distL="0" distR="0" wp14:anchorId="4588AA85" wp14:editId="4B40BEB3">
            <wp:extent cx="5731510" cy="4727575"/>
            <wp:effectExtent l="0" t="0" r="2540" b="0"/>
            <wp:docPr id="16586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9789" name=""/>
                    <pic:cNvPicPr/>
                  </pic:nvPicPr>
                  <pic:blipFill>
                    <a:blip r:embed="rId7"/>
                    <a:stretch>
                      <a:fillRect/>
                    </a:stretch>
                  </pic:blipFill>
                  <pic:spPr>
                    <a:xfrm>
                      <a:off x="0" y="0"/>
                      <a:ext cx="5731510" cy="4727575"/>
                    </a:xfrm>
                    <a:prstGeom prst="rect">
                      <a:avLst/>
                    </a:prstGeom>
                  </pic:spPr>
                </pic:pic>
              </a:graphicData>
            </a:graphic>
          </wp:inline>
        </w:drawing>
      </w:r>
    </w:p>
    <w:p w14:paraId="342ACA7C" w14:textId="77777777" w:rsidR="00C3765B" w:rsidRDefault="00C3765B" w:rsidP="00C3765B">
      <w:pPr>
        <w:jc w:val="center"/>
        <w:rPr>
          <w:rFonts w:ascii="Times New Roman" w:hAnsi="Times New Roman" w:cs="Times New Roman"/>
        </w:rPr>
      </w:pPr>
    </w:p>
    <w:p w14:paraId="6049E16C" w14:textId="77777777" w:rsidR="00C3765B" w:rsidRDefault="00C3765B" w:rsidP="00C3765B">
      <w:pPr>
        <w:jc w:val="center"/>
        <w:rPr>
          <w:rFonts w:ascii="Times New Roman" w:hAnsi="Times New Roman" w:cs="Times New Roman"/>
        </w:rPr>
      </w:pPr>
    </w:p>
    <w:p w14:paraId="4BD38D40" w14:textId="77777777" w:rsidR="00C3765B" w:rsidRDefault="00C3765B" w:rsidP="00C3765B">
      <w:pPr>
        <w:jc w:val="center"/>
        <w:rPr>
          <w:rFonts w:ascii="Times New Roman" w:hAnsi="Times New Roman" w:cs="Times New Roman"/>
        </w:rPr>
      </w:pPr>
    </w:p>
    <w:p w14:paraId="3232E5E6" w14:textId="77777777" w:rsidR="00C3765B" w:rsidRDefault="00C3765B" w:rsidP="00C3765B">
      <w:pPr>
        <w:jc w:val="center"/>
        <w:rPr>
          <w:rFonts w:ascii="Times New Roman" w:hAnsi="Times New Roman" w:cs="Times New Roman"/>
        </w:rPr>
      </w:pPr>
    </w:p>
    <w:p w14:paraId="58A9D640" w14:textId="77777777" w:rsidR="00C3765B" w:rsidRDefault="00C3765B" w:rsidP="00C3765B">
      <w:pPr>
        <w:jc w:val="center"/>
        <w:rPr>
          <w:rFonts w:ascii="Times New Roman" w:hAnsi="Times New Roman" w:cs="Times New Roman"/>
        </w:rPr>
      </w:pPr>
    </w:p>
    <w:p w14:paraId="74709333" w14:textId="77777777" w:rsidR="00C3765B" w:rsidRDefault="00C3765B" w:rsidP="00C3765B">
      <w:pPr>
        <w:jc w:val="center"/>
        <w:rPr>
          <w:rFonts w:ascii="Times New Roman" w:hAnsi="Times New Roman" w:cs="Times New Roman"/>
        </w:rPr>
      </w:pPr>
    </w:p>
    <w:p w14:paraId="3940E75E" w14:textId="77777777" w:rsidR="00C3765B" w:rsidRPr="00583FC6" w:rsidRDefault="00C3765B" w:rsidP="00C3765B">
      <w:pPr>
        <w:jc w:val="center"/>
        <w:rPr>
          <w:rFonts w:ascii="Times New Roman" w:hAnsi="Times New Roman" w:cs="Times New Roman"/>
        </w:rPr>
      </w:pPr>
    </w:p>
    <w:p w14:paraId="7FF5C36C" w14:textId="6A7FFADF" w:rsidR="00583FC6" w:rsidRPr="00C3765B" w:rsidRDefault="00583FC6">
      <w:pPr>
        <w:rPr>
          <w:rFonts w:ascii="Times New Roman" w:hAnsi="Times New Roman" w:cs="Times New Roman"/>
          <w:b/>
          <w:bCs/>
          <w:sz w:val="32"/>
          <w:szCs w:val="32"/>
        </w:rPr>
      </w:pPr>
      <w:r w:rsidRPr="00C3765B">
        <w:rPr>
          <w:rFonts w:ascii="Times New Roman" w:hAnsi="Times New Roman" w:cs="Times New Roman"/>
          <w:b/>
          <w:bCs/>
          <w:sz w:val="32"/>
          <w:szCs w:val="32"/>
        </w:rPr>
        <w:lastRenderedPageBreak/>
        <w:t>Side-by-Side Comparison</w:t>
      </w:r>
    </w:p>
    <w:p w14:paraId="7AD0A777" w14:textId="20FB6C19" w:rsidR="00583FC6" w:rsidRDefault="00583FC6">
      <w:pPr>
        <w:rPr>
          <w:rFonts w:ascii="Times New Roman" w:hAnsi="Times New Roman" w:cs="Times New Roman"/>
        </w:rPr>
      </w:pPr>
      <w:r w:rsidRPr="00583FC6">
        <w:rPr>
          <w:rFonts w:ascii="Times New Roman" w:hAnsi="Times New Roman" w:cs="Times New Roman"/>
        </w:rPr>
        <w:drawing>
          <wp:inline distT="0" distB="0" distL="0" distR="0" wp14:anchorId="686EBA3F" wp14:editId="54CDC2B0">
            <wp:extent cx="5731510" cy="2506345"/>
            <wp:effectExtent l="0" t="0" r="2540" b="8255"/>
            <wp:docPr id="12857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404" name=""/>
                    <pic:cNvPicPr/>
                  </pic:nvPicPr>
                  <pic:blipFill>
                    <a:blip r:embed="rId8"/>
                    <a:stretch>
                      <a:fillRect/>
                    </a:stretch>
                  </pic:blipFill>
                  <pic:spPr>
                    <a:xfrm>
                      <a:off x="0" y="0"/>
                      <a:ext cx="5731510" cy="2506345"/>
                    </a:xfrm>
                    <a:prstGeom prst="rect">
                      <a:avLst/>
                    </a:prstGeom>
                  </pic:spPr>
                </pic:pic>
              </a:graphicData>
            </a:graphic>
          </wp:inline>
        </w:drawing>
      </w:r>
    </w:p>
    <w:p w14:paraId="287AAA2A" w14:textId="77777777" w:rsidR="00C3765B" w:rsidRPr="00583FC6" w:rsidRDefault="00C3765B">
      <w:pPr>
        <w:rPr>
          <w:rFonts w:ascii="Times New Roman" w:hAnsi="Times New Roman" w:cs="Times New Roman"/>
        </w:rPr>
      </w:pPr>
    </w:p>
    <w:p w14:paraId="0593B762" w14:textId="7C664D64" w:rsidR="00583FC6" w:rsidRDefault="00583FC6">
      <w:pPr>
        <w:rPr>
          <w:rFonts w:ascii="Times New Roman" w:hAnsi="Times New Roman" w:cs="Times New Roman"/>
          <w:b/>
          <w:bCs/>
          <w:sz w:val="32"/>
          <w:szCs w:val="32"/>
        </w:rPr>
      </w:pPr>
      <w:r w:rsidRPr="00C3765B">
        <w:rPr>
          <w:rFonts w:ascii="Times New Roman" w:hAnsi="Times New Roman" w:cs="Times New Roman"/>
          <w:b/>
          <w:bCs/>
          <w:sz w:val="32"/>
          <w:szCs w:val="32"/>
        </w:rPr>
        <w:t>Result Comparison</w:t>
      </w:r>
    </w:p>
    <w:p w14:paraId="17F7615E" w14:textId="0608D9E1" w:rsidR="00C3765B" w:rsidRDefault="00C3765B" w:rsidP="00C3765B">
      <w:pPr>
        <w:jc w:val="center"/>
        <w:rPr>
          <w:rFonts w:ascii="Times New Roman" w:hAnsi="Times New Roman" w:cs="Times New Roman"/>
          <w:b/>
          <w:bCs/>
          <w:sz w:val="32"/>
          <w:szCs w:val="32"/>
        </w:rPr>
      </w:pPr>
      <w:r w:rsidRPr="00583FC6">
        <w:rPr>
          <w:rFonts w:ascii="Times New Roman" w:hAnsi="Times New Roman" w:cs="Times New Roman"/>
          <w:noProof/>
        </w:rPr>
        <w:drawing>
          <wp:inline distT="0" distB="0" distL="0" distR="0" wp14:anchorId="1C9B3773" wp14:editId="6B35D702">
            <wp:extent cx="5731510" cy="3256915"/>
            <wp:effectExtent l="0" t="0" r="2540" b="635"/>
            <wp:docPr id="431978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3E9E6396" w14:textId="7E39C05D" w:rsidR="00C3765B" w:rsidRDefault="00C3765B" w:rsidP="00C3765B">
      <w:pPr>
        <w:jc w:val="center"/>
        <w:rPr>
          <w:rFonts w:ascii="Times New Roman" w:hAnsi="Times New Roman" w:cs="Times New Roman"/>
          <w:b/>
          <w:bCs/>
          <w:sz w:val="32"/>
          <w:szCs w:val="32"/>
        </w:rPr>
      </w:pPr>
      <w:r w:rsidRPr="00583FC6">
        <w:rPr>
          <w:rFonts w:ascii="Times New Roman" w:hAnsi="Times New Roman" w:cs="Times New Roman"/>
          <w:noProof/>
        </w:rPr>
        <w:lastRenderedPageBreak/>
        <w:drawing>
          <wp:inline distT="0" distB="0" distL="0" distR="0" wp14:anchorId="0895A700" wp14:editId="7B80587F">
            <wp:extent cx="5731510" cy="3530600"/>
            <wp:effectExtent l="0" t="0" r="2540" b="0"/>
            <wp:docPr id="69823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0600"/>
                    </a:xfrm>
                    <a:prstGeom prst="rect">
                      <a:avLst/>
                    </a:prstGeom>
                    <a:noFill/>
                    <a:ln>
                      <a:noFill/>
                    </a:ln>
                  </pic:spPr>
                </pic:pic>
              </a:graphicData>
            </a:graphic>
          </wp:inline>
        </w:drawing>
      </w:r>
    </w:p>
    <w:p w14:paraId="171A21D2" w14:textId="77777777" w:rsidR="00C3765B" w:rsidRPr="00C3765B" w:rsidRDefault="00C3765B" w:rsidP="00C3765B">
      <w:pPr>
        <w:jc w:val="center"/>
        <w:rPr>
          <w:rFonts w:ascii="Times New Roman" w:hAnsi="Times New Roman" w:cs="Times New Roman"/>
          <w:b/>
          <w:bCs/>
          <w:sz w:val="32"/>
          <w:szCs w:val="32"/>
        </w:rPr>
      </w:pPr>
    </w:p>
    <w:p w14:paraId="5FDB3AB5" w14:textId="77777777" w:rsidR="00C3765B" w:rsidRDefault="00583FC6">
      <w:pPr>
        <w:rPr>
          <w:rFonts w:ascii="Times New Roman" w:hAnsi="Times New Roman" w:cs="Times New Roman"/>
        </w:rPr>
      </w:pPr>
      <w:r w:rsidRPr="00583FC6">
        <w:rPr>
          <w:rFonts w:ascii="Times New Roman" w:hAnsi="Times New Roman" w:cs="Times New Roman"/>
          <w:noProof/>
        </w:rPr>
        <w:drawing>
          <wp:inline distT="0" distB="0" distL="0" distR="0" wp14:anchorId="170FD756" wp14:editId="0BD4CFEF">
            <wp:extent cx="5731510" cy="2444115"/>
            <wp:effectExtent l="0" t="0" r="2540" b="0"/>
            <wp:docPr id="1122719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44115"/>
                    </a:xfrm>
                    <a:prstGeom prst="rect">
                      <a:avLst/>
                    </a:prstGeom>
                    <a:noFill/>
                    <a:ln>
                      <a:noFill/>
                    </a:ln>
                  </pic:spPr>
                </pic:pic>
              </a:graphicData>
            </a:graphic>
          </wp:inline>
        </w:drawing>
      </w:r>
    </w:p>
    <w:p w14:paraId="4C5D8333" w14:textId="77777777" w:rsidR="00C3765B" w:rsidRDefault="00583FC6">
      <w:pPr>
        <w:rPr>
          <w:rFonts w:ascii="Times New Roman" w:hAnsi="Times New Roman" w:cs="Times New Roman"/>
        </w:rPr>
      </w:pPr>
      <w:r w:rsidRPr="00583FC6">
        <w:rPr>
          <w:rFonts w:ascii="Times New Roman" w:hAnsi="Times New Roman" w:cs="Times New Roman"/>
          <w:noProof/>
        </w:rPr>
        <w:drawing>
          <wp:inline distT="0" distB="0" distL="0" distR="0" wp14:anchorId="55C4BC35" wp14:editId="33B0621D">
            <wp:extent cx="5731510" cy="1890395"/>
            <wp:effectExtent l="0" t="0" r="2540" b="0"/>
            <wp:docPr id="474226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90395"/>
                    </a:xfrm>
                    <a:prstGeom prst="rect">
                      <a:avLst/>
                    </a:prstGeom>
                    <a:noFill/>
                    <a:ln>
                      <a:noFill/>
                    </a:ln>
                  </pic:spPr>
                </pic:pic>
              </a:graphicData>
            </a:graphic>
          </wp:inline>
        </w:drawing>
      </w:r>
    </w:p>
    <w:p w14:paraId="547061DE" w14:textId="1D2E1DD1" w:rsidR="00583FC6" w:rsidRPr="00583FC6" w:rsidRDefault="00583FC6">
      <w:pPr>
        <w:rPr>
          <w:rFonts w:ascii="Times New Roman" w:hAnsi="Times New Roman" w:cs="Times New Roman"/>
        </w:rPr>
      </w:pPr>
      <w:r w:rsidRPr="00583FC6">
        <w:rPr>
          <w:rFonts w:ascii="Times New Roman" w:hAnsi="Times New Roman" w:cs="Times New Roman"/>
          <w:noProof/>
        </w:rPr>
        <w:lastRenderedPageBreak/>
        <w:drawing>
          <wp:inline distT="0" distB="0" distL="0" distR="0" wp14:anchorId="77751F68" wp14:editId="558B3DB8">
            <wp:extent cx="5436635" cy="3535680"/>
            <wp:effectExtent l="0" t="0" r="0" b="7620"/>
            <wp:docPr id="445190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6635" cy="3535680"/>
                    </a:xfrm>
                    <a:prstGeom prst="rect">
                      <a:avLst/>
                    </a:prstGeom>
                    <a:noFill/>
                    <a:ln>
                      <a:noFill/>
                    </a:ln>
                  </pic:spPr>
                </pic:pic>
              </a:graphicData>
            </a:graphic>
          </wp:inline>
        </w:drawing>
      </w:r>
      <w:r w:rsidRPr="00583FC6">
        <w:rPr>
          <w:rFonts w:ascii="Times New Roman" w:hAnsi="Times New Roman" w:cs="Times New Roman"/>
          <w:noProof/>
        </w:rPr>
        <w:drawing>
          <wp:inline distT="0" distB="0" distL="0" distR="0" wp14:anchorId="6342D709" wp14:editId="4C60ABEC">
            <wp:extent cx="5731510" cy="2014855"/>
            <wp:effectExtent l="0" t="0" r="2540" b="4445"/>
            <wp:docPr id="1561089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14855"/>
                    </a:xfrm>
                    <a:prstGeom prst="rect">
                      <a:avLst/>
                    </a:prstGeom>
                    <a:noFill/>
                    <a:ln>
                      <a:noFill/>
                    </a:ln>
                  </pic:spPr>
                </pic:pic>
              </a:graphicData>
            </a:graphic>
          </wp:inline>
        </w:drawing>
      </w:r>
      <w:r w:rsidRPr="00583FC6">
        <w:rPr>
          <w:rFonts w:ascii="Times New Roman" w:hAnsi="Times New Roman" w:cs="Times New Roman"/>
          <w:noProof/>
        </w:rPr>
        <w:drawing>
          <wp:inline distT="0" distB="0" distL="0" distR="0" wp14:anchorId="3C631572" wp14:editId="0D3A9ED0">
            <wp:extent cx="5731510" cy="2503170"/>
            <wp:effectExtent l="0" t="0" r="2540" b="0"/>
            <wp:docPr id="281436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p>
    <w:p w14:paraId="41525A91" w14:textId="7D30CE89" w:rsidR="00583FC6" w:rsidRDefault="00583FC6">
      <w:pPr>
        <w:rPr>
          <w:rFonts w:ascii="Times New Roman" w:hAnsi="Times New Roman" w:cs="Times New Roman"/>
        </w:rPr>
      </w:pPr>
      <w:r w:rsidRPr="00583FC6">
        <w:rPr>
          <w:rFonts w:ascii="Times New Roman" w:hAnsi="Times New Roman" w:cs="Times New Roman"/>
          <w:noProof/>
        </w:rPr>
        <w:lastRenderedPageBreak/>
        <w:drawing>
          <wp:inline distT="0" distB="0" distL="0" distR="0" wp14:anchorId="403A9D24" wp14:editId="4221A81F">
            <wp:extent cx="5731510" cy="1849755"/>
            <wp:effectExtent l="0" t="0" r="2540" b="0"/>
            <wp:docPr id="2766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49755"/>
                    </a:xfrm>
                    <a:prstGeom prst="rect">
                      <a:avLst/>
                    </a:prstGeom>
                    <a:noFill/>
                    <a:ln>
                      <a:noFill/>
                    </a:ln>
                  </pic:spPr>
                </pic:pic>
              </a:graphicData>
            </a:graphic>
          </wp:inline>
        </w:drawing>
      </w:r>
    </w:p>
    <w:p w14:paraId="0C05FCCE" w14:textId="086F2F3B" w:rsidR="00C3765B" w:rsidRPr="00583FC6" w:rsidRDefault="00C3765B">
      <w:pPr>
        <w:rPr>
          <w:rFonts w:ascii="Times New Roman" w:hAnsi="Times New Roman" w:cs="Times New Roman"/>
        </w:rPr>
      </w:pPr>
      <w:r w:rsidRPr="00583FC6">
        <w:rPr>
          <w:rFonts w:ascii="Times New Roman" w:hAnsi="Times New Roman" w:cs="Times New Roman"/>
          <w:noProof/>
        </w:rPr>
        <w:drawing>
          <wp:inline distT="0" distB="0" distL="0" distR="0" wp14:anchorId="2C739DD6" wp14:editId="69D0E7EC">
            <wp:extent cx="5731510" cy="2500630"/>
            <wp:effectExtent l="0" t="0" r="2540" b="0"/>
            <wp:docPr id="495564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00630"/>
                    </a:xfrm>
                    <a:prstGeom prst="rect">
                      <a:avLst/>
                    </a:prstGeom>
                    <a:noFill/>
                    <a:ln>
                      <a:noFill/>
                    </a:ln>
                  </pic:spPr>
                </pic:pic>
              </a:graphicData>
            </a:graphic>
          </wp:inline>
        </w:drawing>
      </w:r>
    </w:p>
    <w:p w14:paraId="4D192ACC" w14:textId="77777777" w:rsidR="00C3765B" w:rsidRDefault="00C3765B" w:rsidP="00583FC6">
      <w:pPr>
        <w:rPr>
          <w:rFonts w:ascii="Times New Roman" w:hAnsi="Times New Roman" w:cs="Times New Roman"/>
        </w:rPr>
      </w:pPr>
    </w:p>
    <w:p w14:paraId="5F43CD72" w14:textId="4004A44F" w:rsidR="00C3765B" w:rsidRPr="00C3765B" w:rsidRDefault="00C3765B" w:rsidP="00583FC6">
      <w:pPr>
        <w:rPr>
          <w:rFonts w:ascii="Times New Roman" w:hAnsi="Times New Roman" w:cs="Times New Roman"/>
          <w:b/>
          <w:bCs/>
          <w:sz w:val="32"/>
          <w:szCs w:val="32"/>
        </w:rPr>
      </w:pPr>
      <w:r w:rsidRPr="00C3765B">
        <w:rPr>
          <w:rFonts w:ascii="Times New Roman" w:hAnsi="Times New Roman" w:cs="Times New Roman"/>
          <w:b/>
          <w:bCs/>
          <w:sz w:val="32"/>
          <w:szCs w:val="32"/>
        </w:rPr>
        <w:t>Conclusion:</w:t>
      </w:r>
    </w:p>
    <w:p w14:paraId="0DE1B6F0" w14:textId="0E5E275F" w:rsidR="00583FC6" w:rsidRPr="00583FC6" w:rsidRDefault="00583FC6" w:rsidP="00583FC6">
      <w:pPr>
        <w:rPr>
          <w:rFonts w:ascii="Times New Roman" w:hAnsi="Times New Roman" w:cs="Times New Roman"/>
        </w:rPr>
      </w:pPr>
      <w:r w:rsidRPr="00583FC6">
        <w:rPr>
          <w:rFonts w:ascii="Times New Roman" w:hAnsi="Times New Roman" w:cs="Times New Roman"/>
        </w:rPr>
        <w:t xml:space="preserve">In conclusion, this research proposes </w:t>
      </w:r>
      <w:proofErr w:type="spellStart"/>
      <w:r w:rsidRPr="00583FC6">
        <w:rPr>
          <w:rFonts w:ascii="Times New Roman" w:hAnsi="Times New Roman" w:cs="Times New Roman"/>
        </w:rPr>
        <w:t>TiRex</w:t>
      </w:r>
      <w:proofErr w:type="spellEnd"/>
      <w:r w:rsidRPr="00583FC6">
        <w:rPr>
          <w:rFonts w:ascii="Times New Roman" w:hAnsi="Times New Roman" w:cs="Times New Roman"/>
        </w:rPr>
        <w:t>-DHS, a dynamic, horizon-aware sparse covariate selection mechanism for improving the computational efficiency of TiRex-2. The preliminary results show that hard covariate selection can significantly reduce runtime and computational operations while maintaining comparable forecasting accuracy on the evaluated electricity-demand dataset. However, the current experiment selected no additional covariates, so further experiments are required to determine whether the selector can identify genuinely useful variables. Future work will evaluate the approach across datasets with predictive covariates, different forecasting horizons, and varying numbers of input series to assess its effectiveness and generalizability.</w:t>
      </w:r>
    </w:p>
    <w:p w14:paraId="77868C8F" w14:textId="77777777" w:rsidR="00583FC6" w:rsidRPr="00583FC6" w:rsidRDefault="00583FC6">
      <w:pPr>
        <w:rPr>
          <w:rFonts w:ascii="Times New Roman" w:hAnsi="Times New Roman" w:cs="Times New Roman"/>
        </w:rPr>
      </w:pPr>
    </w:p>
    <w:sectPr w:rsidR="00583FC6" w:rsidRPr="00583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2DF6"/>
    <w:multiLevelType w:val="multilevel"/>
    <w:tmpl w:val="D4EE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A4A8D"/>
    <w:multiLevelType w:val="multilevel"/>
    <w:tmpl w:val="8A92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90711"/>
    <w:multiLevelType w:val="multilevel"/>
    <w:tmpl w:val="A5F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A0B7E"/>
    <w:multiLevelType w:val="multilevel"/>
    <w:tmpl w:val="409C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CF7B0F"/>
    <w:multiLevelType w:val="multilevel"/>
    <w:tmpl w:val="884E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237664">
    <w:abstractNumId w:val="0"/>
  </w:num>
  <w:num w:numId="2" w16cid:durableId="729502072">
    <w:abstractNumId w:val="3"/>
  </w:num>
  <w:num w:numId="3" w16cid:durableId="106315669">
    <w:abstractNumId w:val="1"/>
  </w:num>
  <w:num w:numId="4" w16cid:durableId="258106115">
    <w:abstractNumId w:val="2"/>
  </w:num>
  <w:num w:numId="5" w16cid:durableId="1833376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A5"/>
    <w:rsid w:val="000555A2"/>
    <w:rsid w:val="00583FC6"/>
    <w:rsid w:val="006709A5"/>
    <w:rsid w:val="007E009B"/>
    <w:rsid w:val="00AC7B51"/>
    <w:rsid w:val="00C3765B"/>
    <w:rsid w:val="00D7535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A316"/>
  <w15:chartTrackingRefBased/>
  <w15:docId w15:val="{2BE9974C-B33E-4A8E-8117-50824370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9A5"/>
    <w:rPr>
      <w:rFonts w:eastAsiaTheme="majorEastAsia" w:cstheme="majorBidi"/>
      <w:color w:val="272727" w:themeColor="text1" w:themeTint="D8"/>
    </w:rPr>
  </w:style>
  <w:style w:type="paragraph" w:styleId="Title">
    <w:name w:val="Title"/>
    <w:basedOn w:val="Normal"/>
    <w:next w:val="Normal"/>
    <w:link w:val="TitleChar"/>
    <w:uiPriority w:val="10"/>
    <w:qFormat/>
    <w:rsid w:val="0067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9A5"/>
    <w:pPr>
      <w:spacing w:before="160"/>
      <w:jc w:val="center"/>
    </w:pPr>
    <w:rPr>
      <w:i/>
      <w:iCs/>
      <w:color w:val="404040" w:themeColor="text1" w:themeTint="BF"/>
    </w:rPr>
  </w:style>
  <w:style w:type="character" w:customStyle="1" w:styleId="QuoteChar">
    <w:name w:val="Quote Char"/>
    <w:basedOn w:val="DefaultParagraphFont"/>
    <w:link w:val="Quote"/>
    <w:uiPriority w:val="29"/>
    <w:rsid w:val="006709A5"/>
    <w:rPr>
      <w:i/>
      <w:iCs/>
      <w:color w:val="404040" w:themeColor="text1" w:themeTint="BF"/>
    </w:rPr>
  </w:style>
  <w:style w:type="paragraph" w:styleId="ListParagraph">
    <w:name w:val="List Paragraph"/>
    <w:basedOn w:val="Normal"/>
    <w:uiPriority w:val="34"/>
    <w:qFormat/>
    <w:rsid w:val="006709A5"/>
    <w:pPr>
      <w:ind w:left="720"/>
      <w:contextualSpacing/>
    </w:pPr>
  </w:style>
  <w:style w:type="character" w:styleId="IntenseEmphasis">
    <w:name w:val="Intense Emphasis"/>
    <w:basedOn w:val="DefaultParagraphFont"/>
    <w:uiPriority w:val="21"/>
    <w:qFormat/>
    <w:rsid w:val="006709A5"/>
    <w:rPr>
      <w:i/>
      <w:iCs/>
      <w:color w:val="0F4761" w:themeColor="accent1" w:themeShade="BF"/>
    </w:rPr>
  </w:style>
  <w:style w:type="paragraph" w:styleId="IntenseQuote">
    <w:name w:val="Intense Quote"/>
    <w:basedOn w:val="Normal"/>
    <w:next w:val="Normal"/>
    <w:link w:val="IntenseQuoteChar"/>
    <w:uiPriority w:val="30"/>
    <w:qFormat/>
    <w:rsid w:val="00670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9A5"/>
    <w:rPr>
      <w:i/>
      <w:iCs/>
      <w:color w:val="0F4761" w:themeColor="accent1" w:themeShade="BF"/>
    </w:rPr>
  </w:style>
  <w:style w:type="character" w:styleId="IntenseReference">
    <w:name w:val="Intense Reference"/>
    <w:basedOn w:val="DefaultParagraphFont"/>
    <w:uiPriority w:val="32"/>
    <w:qFormat/>
    <w:rsid w:val="006709A5"/>
    <w:rPr>
      <w:b/>
      <w:bCs/>
      <w:smallCaps/>
      <w:color w:val="0F4761" w:themeColor="accent1" w:themeShade="BF"/>
      <w:spacing w:val="5"/>
    </w:rPr>
  </w:style>
  <w:style w:type="paragraph" w:customStyle="1" w:styleId="w6asjqtextbase">
    <w:name w:val="w6asjq_textbase"/>
    <w:basedOn w:val="Normal"/>
    <w:rsid w:val="006709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670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Vasantharaaj Rajarathnam</dc:creator>
  <cp:keywords/>
  <dc:description/>
  <cp:lastModifiedBy>Vasantharaaj Rajarathnam</cp:lastModifiedBy>
  <cp:revision>1</cp:revision>
  <dcterms:created xsi:type="dcterms:W3CDTF">2026-10-03T14:12:00Z</dcterms:created>
  <dcterms:modified xsi:type="dcterms:W3CDTF">2026-10-03T14:50:00Z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54173a26-85f6-4bbd-8f77-53ee82b7bea7</vt:lpwstr>
  </property>
</Properties>
</file>