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Trader Performance vs Market Sentiment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8E8"/>
                <w:sz w:val="17"/>
                <w:szCs w:val="17"/>
              </w:rPr>
              <w:t xml:space="preserve">Primetrade.ai — Data Science Intern Submission  |  Hyperliquid × Bitcoin Fear/Greed Index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211,218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Trades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Unique Traders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479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Days Analysed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246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Coins Traded</w:t>
            </w:r>
          </w:p>
        </w:tc>
      </w:tr>
    </w:tbl>
    <w:p>
      <w:pPr>
        <w:spacing w:after="60"/>
      </w:pPr>
    </w:p>
    <w:p>
      <w:pPr>
        <w:pBdr>
          <w:bottom w:val="single" w:color="1F4E79" w:sz="4" w:space="1"/>
        </w:pBdr>
        <w:spacing w:before="15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Methodology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Both datasets were cleaned (zero missing values), timestamps parsed from IST format, and aligned at daily granularity via inner join on date (479 overlapping days). Per-account daily metrics were engineered: PnL, win rate, long/short ratio, approximate leverage, trade frequency, cumulative PnL, and drawdown proxy. Traders were segmented across three dimensions: leverage level, trade frequency, and performance consistency.</w:t>
      </w:r>
    </w:p>
    <w:p>
      <w:pPr>
        <w:spacing w:after="60"/>
      </w:pPr>
    </w:p>
    <w:p>
      <w:pPr>
        <w:pBdr>
          <w:bottom w:val="single" w:color="1F4E79" w:sz="4" w:space="1"/>
        </w:pBdr>
        <w:spacing w:before="15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Insights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780"/>
        <w:gridCol w:w="6200"/>
      </w:tblGrid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Insight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from Data</w:t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Extreme Greed produces the highest win rate; Fear days vary widely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Extreme Greed win rate: 38.6% vs Greed 34.4%, Fear 36.4%, Neutral 35.5%. Mean daily PnL peaks on Fear ($5,329) and Extreme Greed ($5,162), suggesting volatility — not just sentiment direction — drives returns.</w:t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High-leverage traders earn more on Fear days but carry extreme risk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High-leverage segment mean PnL on Fear days: $6,441 vs Low-leverage: $3,858. However, high-leverage traders show max drawdowns orders of magnitude deeper, confirming leverage amplifies both upside and downside.</w:t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Consistent Winners operate at drastically lower leverage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Consistent Winners (positive total PnL + win rate &gt;50%): avg leverage 4.1x, win rate 71.1%. Inconsistent traders: avg leverage 41.4x, win rate 34.0%. Lower leverage + higher selectivity is the clearest differentiator of top performers.</w:t>
            </w:r>
          </w:p>
        </w:tc>
      </w:tr>
    </w:tbl>
    <w:p>
      <w:pPr>
        <w:spacing w:after="60"/>
      </w:pPr>
    </w:p>
    <w:p>
      <w:pPr>
        <w:pBdr>
          <w:bottom w:val="single" w:color="1F4E79" w:sz="4" w:space="1"/>
        </w:pBdr>
        <w:spacing w:before="15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Strategy Recommendations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60"/>
        <w:gridCol w:w="23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— Leverage Cap by Sentiment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 leverage at 5x on Fear/Neutral days. Allow up to 10x only on Greed days for frequent traders.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High-leverage &amp; inconsistent traders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— Directional Bias Alignment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Reduce long exposure and favour shorts on Fear days. Increase long bias on Greed/Extreme Greed days.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traders, especially inconsistent segment</w:t>
            </w:r>
          </w:p>
        </w:tc>
      </w:tr>
    </w:tbl>
    <w:p>
      <w:pPr>
        <w:spacing w:after="80"/>
      </w:pPr>
    </w:p>
    <w:p>
      <w:pPr>
        <w:pBdr>
          <w:bottom w:val="single" w:color="1F4E79" w:sz="4" w:space="1"/>
        </w:pBdr>
        <w:spacing w:before="15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Bonus — Predictive Model (Random Forest: Next-Day Profitability)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22"/>
                <w:szCs w:val="22"/>
              </w:rPr>
              <w:t xml:space="preserve">67.0%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Test Accuracy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22"/>
                <w:szCs w:val="22"/>
              </w:rPr>
              <w:t xml:space="preserve">0.707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ROC-AUC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22"/>
                <w:szCs w:val="22"/>
              </w:rPr>
              <w:t xml:space="preserve">60.4% ± 1.9%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5-Fold CV Accuracy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22"/>
                <w:szCs w:val="22"/>
              </w:rPr>
              <w:t xml:space="preserve">63.1 / 59.6 / 60.7
57.2 / 61.1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CV Fold Scores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260"/>
              <w:bottom w:type="dxa" w:w="80"/>
              <w:right w:type="dxa" w:w="2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D8E8"/>
                <w:sz w:val="16"/>
                <w:szCs w:val="16"/>
              </w:rPr>
              <w:t xml:space="preserve">Deliverables: analysis.ipynb  |  dashboard.py (Streamlit)  |  outputs/ (8 charts + model report)  |  README.md</w:t>
            </w:r>
          </w:p>
        </w:tc>
      </w:tr>
    </w:tbl>
    <w:sectPr>
      <w:pgSz w:w="12240" w:h="15840" w:orient="portrait"/>
      <w:pgMar w:top="650" w:right="1000" w:bottom="6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2026-03-07T14:13:27.224Z</dcterms:created>
  <dcterms:modified xsi:type="dcterms:W3CDTF">2026-03-07T14:13:27.225Z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