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Sample Academic Document</w:t>
      </w:r>
    </w:p>
    <w:p>
      <w:pPr/>
      <w:r>
        <w:t>This is a sample paragraph for testing FaraPraiser. The application can parse various document formats including DOCX and PDF files. It extracts paragraphs, tables, lists, and headings for paraphrasing.</w:t>
      </w:r>
    </w:p>
    <w:p>
      <w:pPr>
        <w:pStyle w:val="Heading1"/>
      </w:pPr>
      <w:r>
        <w:t>Key Features</w:t>
      </w:r>
    </w:p>
    <w:p>
      <w:pPr>
        <w:pStyle w:val="ListBullet"/>
      </w:pPr>
      <w:r>
        <w:t>Document parsing and analysis</w:t>
      </w:r>
    </w:p>
    <w:p>
      <w:pPr>
        <w:pStyle w:val="ListBullet"/>
      </w:pPr>
      <w:r>
        <w:t>Multiple paraphrase variants</w:t>
      </w:r>
    </w:p>
    <w:p>
      <w:pPr>
        <w:pStyle w:val="ListBullet"/>
      </w:pPr>
      <w:r>
        <w:t>Tone customization options</w:t>
      </w:r>
    </w:p>
    <w:p>
      <w:pPr>
        <w:pStyle w:val="Heading1"/>
      </w:pPr>
      <w:r>
        <w:t>Research Methodology</w:t>
      </w:r>
    </w:p>
    <w:p>
      <w:pPr/>
      <w:r>
        <w:t>The research methodology involves systematic analysis of text structures. Each document block is processed independently to maintain context and preserve formatting. This approach ensures accurate paraphrasing while maintaining the original document structure.</w:t>
      </w:r>
    </w:p>
    <w:tbl>
      <w:tblPr>
        <w:tblStyle w:val="LightGrid-Accent1"/>
        <w:tblW w:type="auto" w:w="0"/>
        <w:tblLook w:firstColumn="1" w:firstRow="1" w:lastColumn="0" w:lastRow="0" w:noHBand="0" w:noVBand="1" w:val="04A0"/>
      </w:tblPr>
      <w:tblGrid>
        <w:gridCol w:w="4320"/>
        <w:gridCol w:w="4320"/>
      </w:tblGrid>
      <w:tr>
        <w:tc>
          <w:tcPr>
            <w:tcW w:type="dxa" w:w="4320"/>
          </w:tcPr>
          <w:p>
            <w:r>
              <w:t>Feature</w:t>
            </w:r>
          </w:p>
        </w:tc>
        <w:tc>
          <w:tcPr>
            <w:tcW w:type="dxa" w:w="4320"/>
          </w:tcPr>
          <w:p>
            <w:r>
              <w:t>Description</w:t>
            </w:r>
          </w:p>
        </w:tc>
      </w:tr>
      <w:tr>
        <w:tc>
          <w:tcPr>
            <w:tcW w:type="dxa" w:w="4320"/>
          </w:tcPr>
          <w:p>
            <w:r>
              <w:t>LLM Support</w:t>
            </w:r>
          </w:p>
        </w:tc>
        <w:tc>
          <w:tcPr>
            <w:tcW w:type="dxa" w:w="4320"/>
          </w:tcPr>
          <w:p>
            <w:r>
              <w:t>Ollama and LM Studio</w:t>
            </w:r>
          </w:p>
        </w:tc>
      </w:tr>
      <w:tr>
        <w:tc>
          <w:tcPr>
            <w:tcW w:type="dxa" w:w="4320"/>
          </w:tcPr>
          <w:p>
            <w:r>
              <w:t>Export</w:t>
            </w:r>
          </w:p>
        </w:tc>
        <w:tc>
          <w:tcPr>
            <w:tcW w:type="dxa" w:w="4320"/>
          </w:tcPr>
          <w:p>
            <w:r>
              <w:t>DOCX and PDF</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