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</w:pPr>
      <w:r>
        <w:rPr>
          <w:b w:val="1"/>
          <w:bCs w:val="1"/>
          <w:sz w:val="36"/>
          <w:szCs w:val="36"/>
          <w:rtl w:val="0"/>
          <w:lang w:val="de-DE"/>
        </w:rPr>
        <w:t>ASSIGNMENT 1</w:t>
      </w:r>
    </w:p>
    <w:p>
      <w:pPr>
        <w:pStyle w:val="Body A"/>
        <w:jc w:val="center"/>
      </w:pPr>
      <w:r>
        <w:rPr>
          <w:b w:val="1"/>
          <w:bCs w:val="1"/>
          <w:sz w:val="22"/>
          <w:szCs w:val="22"/>
          <w:rtl w:val="0"/>
          <w:lang w:val="de-DE"/>
        </w:rPr>
        <w:t xml:space="preserve">DSE ZG505 </w:t>
      </w:r>
      <w:r>
        <w:rPr>
          <w:b w:val="1"/>
          <w:bCs w:val="1"/>
          <w:sz w:val="22"/>
          <w:szCs w:val="22"/>
          <w:rtl w:val="0"/>
          <w:lang w:val="de-DE"/>
        </w:rPr>
        <w:t xml:space="preserve">– </w:t>
      </w:r>
      <w:r>
        <w:rPr>
          <w:b w:val="1"/>
          <w:bCs w:val="1"/>
          <w:sz w:val="22"/>
          <w:szCs w:val="22"/>
          <w:rtl w:val="0"/>
          <w:lang w:val="en-US"/>
        </w:rPr>
        <w:t>Preprocessing for AI-Ready Data</w:t>
      </w:r>
    </w:p>
    <w:p>
      <w:pPr>
        <w:pStyle w:val="Body A"/>
        <w:spacing w:line="24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Ajay Prakash</w:t>
      </w:r>
    </w:p>
    <w:p>
      <w:pPr>
        <w:pStyle w:val="Body A"/>
        <w:spacing w:line="240" w:lineRule="auto"/>
        <w:rPr>
          <w:lang w:val="en-US"/>
        </w:rPr>
      </w:pPr>
      <w:r>
        <w:rPr>
          <w:rtl w:val="0"/>
          <w:lang w:val="en-US"/>
        </w:rPr>
        <w:t>2026nd04174@wilp.bits-pilani.ac.in</w:t>
      </w:r>
    </w:p>
    <w:p>
      <w:pPr>
        <w:pStyle w:val="Heading"/>
        <w:rPr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u w:color="3f6797"/>
          <w:rtl w:val="0"/>
          <w14:textFill>
            <w14:solidFill>
              <w14:srgbClr w14:val="3F6797"/>
            </w14:solidFill>
          </w14:textFill>
        </w:rPr>
        <w:t xml:space="preserve">1. Part 1 </w:t>
      </w:r>
      <w:r>
        <w:rPr>
          <w:outline w:val="0"/>
          <w:color w:val="3f6797"/>
          <w:u w:color="3f6797"/>
          <w:rtl w:val="0"/>
          <w:lang w:val="en-US"/>
          <w14:textFill>
            <w14:solidFill>
              <w14:srgbClr w14:val="3F6797"/>
            </w14:solidFill>
          </w14:textFill>
        </w:rPr>
        <w:t>- Data Quality &amp; Profiling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I loaded my assigned RAW dataset and used the program to generate the required outputs.</w:t>
      </w:r>
    </w:p>
    <w:p>
      <w:pPr>
        <w:pStyle w:val="Body A"/>
        <w:jc w:val="center"/>
      </w:pPr>
      <w:r>
        <w:drawing xmlns:a="http://schemas.openxmlformats.org/drawingml/2006/main">
          <wp:inline distT="0" distB="0" distL="0" distR="0">
            <wp:extent cx="6035040" cy="4081293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812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  <w:rPr>
          <w:lang w:val="en-US"/>
        </w:rPr>
      </w:pPr>
      <w:r>
        <w:rPr>
          <w:i w:val="1"/>
          <w:iCs w:val="1"/>
          <w:sz w:val="18"/>
          <w:szCs w:val="18"/>
          <w:rtl w:val="0"/>
          <w:lang w:val="en-US"/>
        </w:rPr>
        <w:t>Initial RAW dataset and column details</w:t>
      </w:r>
    </w:p>
    <w:p>
      <w:pPr>
        <w:pStyle w:val="Heading 2"/>
      </w:pPr>
      <w:r>
        <w:rPr>
          <w:rtl w:val="0"/>
          <w:lang w:val="en-US"/>
        </w:rPr>
        <w:t>1.1 Data Quality Metrics</w:t>
      </w:r>
    </w:p>
    <w:p>
      <w:pPr>
        <w:pStyle w:val="Body A"/>
        <w:jc w:val="center"/>
      </w:pPr>
      <w:r>
        <w:drawing xmlns:a="http://schemas.openxmlformats.org/drawingml/2006/main">
          <wp:inline distT="0" distB="0" distL="0" distR="0">
            <wp:extent cx="6035041" cy="1669807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16698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  <w:rPr>
          <w:lang w:val="en-US"/>
        </w:rPr>
      </w:pPr>
      <w:r>
        <w:rPr>
          <w:i w:val="1"/>
          <w:iCs w:val="1"/>
          <w:sz w:val="18"/>
          <w:szCs w:val="18"/>
          <w:rtl w:val="0"/>
          <w:lang w:val="en-US"/>
        </w:rPr>
        <w:t>Q1.1 output</w:t>
      </w:r>
    </w:p>
    <w:p>
      <w:pPr>
        <w:pStyle w:val="Heading 2"/>
        <w:rPr>
          <w:lang w:val="de-DE"/>
        </w:rPr>
      </w:pPr>
      <w:r>
        <w:rPr>
          <w:rtl w:val="0"/>
          <w:lang w:val="de-DE"/>
        </w:rPr>
        <w:t>1.2 Schema Metadata</w:t>
      </w:r>
    </w:p>
    <w:p>
      <w:pPr>
        <w:pStyle w:val="Body A"/>
        <w:jc w:val="center"/>
      </w:pPr>
      <w:r>
        <w:drawing xmlns:a="http://schemas.openxmlformats.org/drawingml/2006/main">
          <wp:inline distT="0" distB="0" distL="0" distR="0">
            <wp:extent cx="6035041" cy="5900521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59005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</w:pPr>
      <w:r>
        <w:drawing xmlns:a="http://schemas.openxmlformats.org/drawingml/2006/main">
          <wp:inline distT="0" distB="0" distL="0" distR="0">
            <wp:extent cx="6035041" cy="1118727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11187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  <w:rPr>
          <w:i w:val="1"/>
          <w:iCs w:val="1"/>
          <w:sz w:val="18"/>
          <w:szCs w:val="18"/>
          <w:lang w:val="en-US"/>
        </w:rPr>
      </w:pPr>
      <w:r>
        <w:rPr>
          <w:i w:val="1"/>
          <w:iCs w:val="1"/>
          <w:sz w:val="18"/>
          <w:szCs w:val="18"/>
          <w:rtl w:val="0"/>
          <w:lang w:val="en-US"/>
        </w:rPr>
        <w:t>Q1.2 output</w:t>
      </w:r>
    </w:p>
    <w:p>
      <w:pPr>
        <w:pStyle w:val="Body A"/>
        <w:jc w:val="center"/>
        <w:rPr>
          <w:lang w:val="en-US"/>
        </w:rPr>
      </w:pPr>
    </w:p>
    <w:p>
      <w:pPr>
        <w:pStyle w:val="Heading 2"/>
      </w:pPr>
      <w:r>
        <w:rPr>
          <w:rtl w:val="0"/>
          <w:lang w:val="en-US"/>
        </w:rPr>
        <w:t>1.3 YData Profiling - Technical Observations</w:t>
      </w:r>
    </w:p>
    <w:p>
      <w:pPr>
        <w:pStyle w:val="Body A"/>
      </w:pPr>
      <w:r>
        <w:rPr>
          <w:rtl w:val="0"/>
          <w:lang w:val="de-DE"/>
        </w:rPr>
        <w:t>The automated YData profiling report was generated as profiling_report.html.</w:t>
      </w:r>
    </w:p>
    <w:p>
      <w:pPr>
        <w:pStyle w:val="Body A"/>
        <w:numPr>
          <w:ilvl w:val="0"/>
          <w:numId w:val="2"/>
        </w:numPr>
        <w:rPr>
          <w:lang w:val="de-DE"/>
        </w:rPr>
      </w:pPr>
      <w:r>
        <w:rPr>
          <w:b w:val="1"/>
          <w:bCs w:val="1"/>
          <w:rtl w:val="0"/>
          <w:lang w:val="de-DE"/>
        </w:rPr>
        <w:t>fare_amount is highly right-skewed</w:t>
      </w:r>
      <w:r>
        <w:rPr>
          <w:rtl w:val="0"/>
          <w:lang w:val="de-DE"/>
        </w:rPr>
        <w:t xml:space="preserve">, with skewness of </w:t>
      </w:r>
      <w:r>
        <w:rPr>
          <w:b w:val="1"/>
          <w:bCs w:val="1"/>
          <w:rtl w:val="0"/>
          <w:lang w:val="de-DE"/>
        </w:rPr>
        <w:t>6.0517</w:t>
      </w:r>
      <w:r>
        <w:rPr>
          <w:rtl w:val="0"/>
          <w:lang w:val="de-DE"/>
        </w:rPr>
        <w:t xml:space="preserve">, indicating that most fares are concentrated at lower/moderate values while a small number of observations have exceptionally high fares. Its kurtosis of </w:t>
      </w:r>
      <w:r>
        <w:rPr>
          <w:b w:val="1"/>
          <w:bCs w:val="1"/>
          <w:rtl w:val="0"/>
          <w:lang w:val="de-DE"/>
        </w:rPr>
        <w:t>53.2329</w:t>
      </w:r>
      <w:r>
        <w:rPr>
          <w:rtl w:val="0"/>
          <w:lang w:val="de-DE"/>
        </w:rPr>
        <w:t xml:space="preserve"> indicates a very heavy tail and the presence of extreme fare outliers, which can disproportionately influence distance-based and linear models.</w:t>
      </w:r>
    </w:p>
    <w:p>
      <w:pPr>
        <w:pStyle w:val="Body A"/>
        <w:numPr>
          <w:ilvl w:val="0"/>
          <w:numId w:val="2"/>
        </w:numPr>
        <w:rPr>
          <w:lang w:val="de-DE"/>
        </w:rPr>
      </w:pPr>
      <w:r>
        <w:rPr>
          <w:b w:val="1"/>
          <w:bCs w:val="1"/>
          <w:rtl w:val="0"/>
          <w:lang w:val="de-DE"/>
        </w:rPr>
        <w:t>lifetime_rides is strongly positively skewed</w:t>
      </w:r>
      <w:r>
        <w:rPr>
          <w:rtl w:val="0"/>
          <w:lang w:val="de-DE"/>
        </w:rPr>
        <w:t xml:space="preserve">, with skewness of </w:t>
      </w:r>
      <w:r>
        <w:rPr>
          <w:b w:val="1"/>
          <w:bCs w:val="1"/>
          <w:rtl w:val="0"/>
          <w:lang w:val="de-DE"/>
        </w:rPr>
        <w:t>3.0204</w:t>
      </w:r>
      <w:r>
        <w:rPr>
          <w:rtl w:val="0"/>
          <w:lang w:val="de-DE"/>
        </w:rPr>
        <w:t xml:space="preserve">, while kurtosis of </w:t>
      </w:r>
      <w:r>
        <w:rPr>
          <w:b w:val="1"/>
          <w:bCs w:val="1"/>
          <w:rtl w:val="0"/>
          <w:lang w:val="de-DE"/>
        </w:rPr>
        <w:t>18.6344</w:t>
      </w:r>
      <w:r>
        <w:rPr>
          <w:rtl w:val="0"/>
          <w:lang w:val="de-DE"/>
        </w:rPr>
        <w:t xml:space="preserve"> indicates substantial tail heaviness. This suggests that a relatively small number of customers have exceptionally high lifetime ride counts, motivating a nonlinear transformation such as log1p to reduce the influence of extreme values.</w:t>
      </w:r>
    </w:p>
    <w:p>
      <w:pPr>
        <w:pStyle w:val="Body A"/>
        <w:numPr>
          <w:ilvl w:val="0"/>
          <w:numId w:val="2"/>
        </w:numPr>
        <w:rPr>
          <w:lang w:val="de-DE"/>
        </w:rPr>
      </w:pPr>
      <w:r>
        <w:rPr>
          <w:b w:val="1"/>
          <w:bCs w:val="1"/>
          <w:rtl w:val="0"/>
          <w:lang w:val="de-DE"/>
        </w:rPr>
        <w:t>customer_age contains 45 missing values and 4 biologically impossible observations.</w:t>
      </w:r>
      <w:r>
        <w:rPr>
          <w:rtl w:val="0"/>
          <w:lang w:val="de-DE"/>
        </w:rPr>
        <w:t xml:space="preserve"> These issues can distort demographic relationships and therefore require appropriate imputation and invalid-record handling before model training.</w:t>
      </w:r>
    </w:p>
    <w:p>
      <w:pPr>
        <w:pStyle w:val="Body A"/>
        <w:numPr>
          <w:ilvl w:val="0"/>
          <w:numId w:val="2"/>
        </w:numPr>
        <w:rPr>
          <w:lang w:val="de-DE"/>
        </w:rPr>
      </w:pPr>
      <w:r>
        <w:rPr>
          <w:rtl w:val="0"/>
          <w:lang w:val="de-DE"/>
        </w:rPr>
        <w:t>payment_type contains 6 distinct case-sensitive values but only 4 categories when case is ignored, indicating inconsistent categorical representation. The raw dataset also contains 4 exact duplicate rows, highlighting the need for data-quality controls before downstream modelling.</w:t>
      </w:r>
    </w:p>
    <w:p>
      <w:pPr>
        <w:pStyle w:val="List Number"/>
        <w:tabs>
          <w:tab w:val="clear" w:pos="360"/>
        </w:tabs>
      </w:pPr>
    </w:p>
    <w:p>
      <w:pPr>
        <w:pStyle w:val="Body A"/>
        <w:jc w:val="center"/>
      </w:pPr>
      <w:r>
        <w:drawing xmlns:a="http://schemas.openxmlformats.org/drawingml/2006/main">
          <wp:inline distT="0" distB="0" distL="0" distR="0">
            <wp:extent cx="6035041" cy="1107998"/>
            <wp:effectExtent l="0" t="0" r="0" b="0"/>
            <wp:docPr id="1073741829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5" descr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11079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  <w:rPr>
          <w:lang w:val="en-US"/>
        </w:rPr>
      </w:pPr>
      <w:r>
        <w:rPr>
          <w:i w:val="1"/>
          <w:iCs w:val="1"/>
          <w:sz w:val="18"/>
          <w:szCs w:val="18"/>
          <w:rtl w:val="0"/>
          <w:lang w:val="en-US"/>
        </w:rPr>
        <w:t>Q1.3 output</w:t>
      </w:r>
    </w:p>
    <w:p>
      <w:pPr>
        <w:pStyle w:val="Heading 2"/>
        <w:rPr>
          <w:lang w:val="fr-FR"/>
        </w:rPr>
      </w:pPr>
      <w:r>
        <w:rPr>
          <w:rtl w:val="0"/>
          <w:lang w:val="fr-FR"/>
        </w:rPr>
        <w:t>1.4 Variance Compression</w:t>
      </w:r>
    </w:p>
    <w:p>
      <w:pPr>
        <w:pStyle w:val="Body A"/>
      </w:pPr>
      <w:r>
        <w:rPr>
          <w:rtl w:val="0"/>
          <w:lang w:val="de-DE"/>
        </w:rPr>
        <w:t>Variance before mean imputation: 159.859645</w:t>
      </w:r>
      <w:r>
        <w:br w:type="textWrapping"/>
      </w:r>
      <w:r>
        <w:rPr>
          <w:rtl w:val="0"/>
          <w:lang w:val="de-DE"/>
        </w:rPr>
        <w:t>Variance after mean imputation: 152.694622</w:t>
      </w:r>
    </w:p>
    <w:p>
      <w:pPr>
        <w:pStyle w:val="Body A"/>
      </w:pPr>
      <w:r>
        <w:rPr>
          <w:b w:val="1"/>
          <w:bCs w:val="1"/>
          <w:rtl w:val="0"/>
          <w:lang w:val="de-DE"/>
        </w:rPr>
        <w:t>Technical observation:</w:t>
      </w:r>
      <w:r>
        <w:rPr>
          <w:rtl w:val="0"/>
          <w:lang w:val="de-DE"/>
        </w:rPr>
        <w:t xml:space="preserve"> Mean imputation replaces every missing value with the sample mean, whose deviation from the mean is zero; therefore, the imputed observations contribute no squared deviation to the variance, causing variance to decrease from </w:t>
      </w:r>
      <w:r>
        <w:rPr>
          <w:b w:val="1"/>
          <w:bCs w:val="1"/>
          <w:rtl w:val="0"/>
          <w:lang w:val="de-DE"/>
        </w:rPr>
        <w:t>159.859645 to 152.694622</w:t>
      </w:r>
      <w:r>
        <w:rPr>
          <w:rtl w:val="0"/>
          <w:lang w:val="de-DE"/>
        </w:rPr>
        <w:t xml:space="preserve"> and potentially compressing genuine demographic differences or distinct customer clusters.</w:t>
      </w:r>
    </w:p>
    <w:p>
      <w:pPr>
        <w:pStyle w:val="Body A"/>
      </w:pPr>
    </w:p>
    <w:p>
      <w:pPr>
        <w:pStyle w:val="Body A"/>
        <w:jc w:val="center"/>
      </w:pPr>
      <w:r>
        <w:drawing xmlns:a="http://schemas.openxmlformats.org/drawingml/2006/main">
          <wp:inline distT="0" distB="0" distL="0" distR="0">
            <wp:extent cx="6035041" cy="1101701"/>
            <wp:effectExtent l="0" t="0" r="0" b="0"/>
            <wp:docPr id="1073741830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6" descr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11017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  <w:rPr>
          <w:lang w:val="en-US"/>
        </w:rPr>
      </w:pPr>
      <w:r>
        <w:rPr>
          <w:i w:val="1"/>
          <w:iCs w:val="1"/>
          <w:sz w:val="18"/>
          <w:szCs w:val="18"/>
          <w:rtl w:val="0"/>
          <w:lang w:val="en-US"/>
        </w:rPr>
        <w:t>Q1.4 output</w:t>
      </w:r>
    </w:p>
    <w:p>
      <w:pPr>
        <w:pStyle w:val="Heading"/>
      </w:pPr>
      <w:r>
        <w:rPr>
          <w:rtl w:val="0"/>
        </w:rPr>
        <w:t xml:space="preserve">2. Part 2 </w:t>
      </w:r>
      <w:r>
        <w:rPr>
          <w:rtl w:val="0"/>
          <w:lang w:val="en-US"/>
        </w:rPr>
        <w:t>- Preprocessing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I kept the RAW dataset unchanged and applied the required changes to the working DataFrame.</w:t>
      </w:r>
    </w:p>
    <w:p>
      <w:pPr>
        <w:pStyle w:val="Body A"/>
        <w:jc w:val="center"/>
      </w:pPr>
      <w:r>
        <w:drawing xmlns:a="http://schemas.openxmlformats.org/drawingml/2006/main">
          <wp:inline distT="0" distB="0" distL="0" distR="0">
            <wp:extent cx="6035041" cy="6470192"/>
            <wp:effectExtent l="0" t="0" r="0" b="0"/>
            <wp:docPr id="1073741831" name="officeArt object" descr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7" descr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64701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  <w:rPr>
          <w:lang w:val="en-US"/>
        </w:rPr>
      </w:pPr>
      <w:r>
        <w:rPr>
          <w:i w:val="1"/>
          <w:iCs w:val="1"/>
          <w:sz w:val="18"/>
          <w:szCs w:val="18"/>
          <w:rtl w:val="0"/>
          <w:lang w:val="en-US"/>
        </w:rPr>
        <w:t>Q</w:t>
      </w:r>
      <w:r>
        <w:rPr>
          <w:i w:val="1"/>
          <w:iCs w:val="1"/>
          <w:sz w:val="18"/>
          <w:szCs w:val="18"/>
          <w:rtl w:val="0"/>
          <w:lang w:val="en-US"/>
        </w:rPr>
        <w:t>2. 1</w:t>
      </w:r>
      <w:r>
        <w:rPr>
          <w:i w:val="1"/>
          <w:iCs w:val="1"/>
          <w:sz w:val="18"/>
          <w:szCs w:val="18"/>
          <w:rtl w:val="0"/>
          <w:lang w:val="en-US"/>
        </w:rPr>
        <w:t xml:space="preserve">.1 </w:t>
      </w:r>
      <w:r>
        <w:rPr>
          <w:i w:val="1"/>
          <w:iCs w:val="1"/>
          <w:sz w:val="18"/>
          <w:szCs w:val="18"/>
          <w:rtl w:val="0"/>
          <w:lang w:val="en-US"/>
        </w:rPr>
        <w:t>to</w:t>
      </w:r>
      <w:r>
        <w:rPr>
          <w:i w:val="1"/>
          <w:iCs w:val="1"/>
          <w:sz w:val="18"/>
          <w:szCs w:val="18"/>
          <w:rtl w:val="0"/>
          <w:lang w:val="en-US"/>
        </w:rPr>
        <w:t xml:space="preserve"> 2.</w:t>
      </w:r>
      <w:r>
        <w:rPr>
          <w:i w:val="1"/>
          <w:iCs w:val="1"/>
          <w:sz w:val="18"/>
          <w:szCs w:val="18"/>
          <w:rtl w:val="0"/>
          <w:lang w:val="en-US"/>
        </w:rPr>
        <w:t>3</w:t>
      </w:r>
      <w:r>
        <w:rPr>
          <w:i w:val="1"/>
          <w:iCs w:val="1"/>
          <w:sz w:val="18"/>
          <w:szCs w:val="18"/>
          <w:rtl w:val="0"/>
          <w:lang w:val="en-US"/>
        </w:rPr>
        <w:t xml:space="preserve"> output</w:t>
      </w:r>
    </w:p>
    <w:p>
      <w:pPr>
        <w:pStyle w:val="Body A"/>
        <w:jc w:val="center"/>
      </w:pPr>
      <w:r>
        <w:drawing xmlns:a="http://schemas.openxmlformats.org/drawingml/2006/main">
          <wp:inline distT="0" distB="0" distL="0" distR="0">
            <wp:extent cx="6035041" cy="5149821"/>
            <wp:effectExtent l="0" t="0" r="0" b="0"/>
            <wp:docPr id="1073741832" name="officeArt object" descr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8" descr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51498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  <w:rPr>
          <w:lang w:val="en-US"/>
        </w:rPr>
      </w:pPr>
      <w:r>
        <w:rPr>
          <w:i w:val="1"/>
          <w:iCs w:val="1"/>
          <w:sz w:val="18"/>
          <w:szCs w:val="18"/>
          <w:rtl w:val="0"/>
          <w:lang w:val="en-US"/>
        </w:rPr>
        <w:t>Q2.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2.4 and final validation output</w:t>
      </w:r>
    </w:p>
    <w:p>
      <w:pPr>
        <w:pStyle w:val="Body A"/>
      </w:pPr>
      <w:r>
        <w:rPr>
          <w:rtl w:val="0"/>
          <w:lang w:val="en-US"/>
        </w:rPr>
        <w:t xml:space="preserve">Final dataset: UrbanGo_A1_cleaned.csv 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 xml:space="preserve"> </w:t>
      </w:r>
      <w:r>
        <w:rPr>
          <w:rtl w:val="0"/>
          <w:lang w:val="de-DE"/>
        </w:rPr>
        <w:t xml:space="preserve">999 rows </w:t>
      </w:r>
      <w:r>
        <w:rPr>
          <w:rtl w:val="0"/>
          <w:lang w:val="de-DE"/>
        </w:rPr>
        <w:t xml:space="preserve">× </w:t>
      </w:r>
      <w:r>
        <w:rPr>
          <w:rtl w:val="0"/>
          <w:lang w:val="en-US"/>
        </w:rPr>
        <w:t>14 columns. No missing values, distance above 200 km, or negative fares remain.</w:t>
      </w:r>
    </w:p>
    <w:p>
      <w:pPr>
        <w:pStyle w:val="Heading"/>
      </w:pPr>
      <w:r>
        <w:rPr>
          <w:rtl w:val="0"/>
        </w:rPr>
        <w:t xml:space="preserve">3. Part 3 </w:t>
      </w:r>
      <w:r>
        <w:rPr>
          <w:rtl w:val="0"/>
          <w:lang w:val="en-US"/>
        </w:rPr>
        <w:t xml:space="preserve">— </w:t>
      </w:r>
      <w:r>
        <w:rPr>
          <w:rtl w:val="0"/>
          <w:lang w:val="nl-NL"/>
        </w:rPr>
        <w:t>Model Evaluation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I ran the supplied Assignment_1_part_3 program without changes.</w:t>
      </w:r>
    </w:p>
    <w:p>
      <w:pPr>
        <w:pStyle w:val="Body A"/>
        <w:jc w:val="center"/>
      </w:pPr>
      <w:r>
        <w:drawing xmlns:a="http://schemas.openxmlformats.org/drawingml/2006/main">
          <wp:inline distT="0" distB="0" distL="0" distR="0">
            <wp:extent cx="6035041" cy="2612408"/>
            <wp:effectExtent l="0" t="0" r="0" b="0"/>
            <wp:docPr id="1073741833" name="officeArt object" descr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9" descr="Picture 9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26124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</w:pPr>
      <w:r>
        <w:rPr>
          <w:i w:val="1"/>
          <w:iCs w:val="1"/>
          <w:sz w:val="18"/>
          <w:szCs w:val="18"/>
          <w:rtl w:val="0"/>
          <w:lang w:val="en-US"/>
        </w:rPr>
        <w:t xml:space="preserve">Part 3 </w:t>
      </w:r>
      <w:r>
        <w:rPr>
          <w:i w:val="1"/>
          <w:iCs w:val="1"/>
          <w:sz w:val="18"/>
          <w:szCs w:val="18"/>
          <w:rtl w:val="0"/>
          <w:lang w:val="en-US"/>
        </w:rPr>
        <w:t>-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de-DE"/>
        </w:rPr>
        <w:t>VERIFIED scorecard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RAW accuracy: 79.66%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PREPROCESSED accuracy: 83.50%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Improvement: 3.84 percentage points</w:t>
      </w:r>
    </w:p>
    <w:p>
      <w:pPr>
        <w:pStyle w:val="Heading 2"/>
      </w:pPr>
      <w:r>
        <w:rPr>
          <w:rtl w:val="0"/>
          <w:lang w:val="en-US"/>
        </w:rPr>
        <w:t>3.4 Technical Synthesis &amp; Conclusion</w:t>
      </w:r>
    </w:p>
    <w:p>
      <w:pPr>
        <w:pStyle w:val="Body A"/>
      </w:pPr>
      <w:r>
        <w:rPr>
          <w:rtl w:val="0"/>
          <w:lang w:val="de-DE"/>
        </w:rPr>
        <w:t>The preprocessing pipeline improved Logistic Regression accuracy from 79.66% to 83.50%, an improvement of 3.84 percentage points, by removing physically impossible records, bounding heavy-tailed fare values, applying log1p to lifetime rides, scaling numerical features before KNN imputation, and avoiding mean-induced variance compression; these steps reduced feature distortion and magnitude dominance, helping prevent gradient oscillation and allowing the optimizer to converge toward a more accurate decision boundary. Further improvement could be explored through consistent categorical encoding, feature selection, interaction features, class-imbalance analysis, and systematic hyperparameter/model tuning, with precision, recall, and F1-score evaluated alongside accuracy.</w:t>
      </w:r>
      <w:r/>
    </w:p>
    <w:sectPr>
      <w:headerReference w:type="default" r:id="rId13"/>
      <w:footerReference w:type="default" r:id="rId14"/>
      <w:pgSz w:w="12240" w:h="15840" w:orient="portrait"/>
      <w:pgMar w:top="792" w:right="936" w:bottom="792" w:left="936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605" w:hanging="385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25" w:hanging="385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5" w:hanging="385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265" w:hanging="385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485" w:hanging="385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705" w:hanging="385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25" w:hanging="385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145" w:hanging="385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365" w:hanging="385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