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556A" w14:textId="77777777" w:rsidR="00A7708D" w:rsidRDefault="00000000">
      <w:pPr>
        <w:spacing w:before="2000"/>
        <w:jc w:val="center"/>
      </w:pPr>
      <w:proofErr w:type="spellStart"/>
      <w:r>
        <w:rPr>
          <w:b/>
          <w:bCs/>
          <w:color w:val="1F3864"/>
          <w:sz w:val="64"/>
          <w:szCs w:val="64"/>
        </w:rPr>
        <w:t>ClearWIP</w:t>
      </w:r>
      <w:proofErr w:type="spellEnd"/>
    </w:p>
    <w:p w14:paraId="6D4EB638" w14:textId="77777777" w:rsidR="00A7708D" w:rsidRDefault="00000000">
      <w:pPr>
        <w:spacing w:before="100" w:after="200"/>
        <w:jc w:val="center"/>
      </w:pPr>
      <w:r>
        <w:rPr>
          <w:color w:val="2E75B6"/>
          <w:sz w:val="30"/>
          <w:szCs w:val="30"/>
        </w:rPr>
        <w:t>Revenue Assurance &amp; Billing Intelligence for Contract Accounting Operations</w:t>
      </w:r>
    </w:p>
    <w:p w14:paraId="7FB18624" w14:textId="77777777" w:rsidR="00A7708D" w:rsidRDefault="00000000">
      <w:pPr>
        <w:spacing w:before="600"/>
        <w:jc w:val="center"/>
      </w:pPr>
      <w:r>
        <w:rPr>
          <w:i/>
          <w:iCs/>
          <w:sz w:val="22"/>
          <w:szCs w:val="22"/>
        </w:rPr>
        <w:t>An Order-to-Cash (O2C) analytics build covering invoicing, revenue recognition,</w:t>
      </w:r>
    </w:p>
    <w:p w14:paraId="58740066" w14:textId="77777777" w:rsidR="00A7708D" w:rsidRDefault="00000000">
      <w:pPr>
        <w:jc w:val="center"/>
      </w:pPr>
      <w:r>
        <w:rPr>
          <w:i/>
          <w:iCs/>
          <w:sz w:val="22"/>
          <w:szCs w:val="22"/>
        </w:rPr>
        <w:t>work-in-progress (WIP), contract change control, and audit exposure</w:t>
      </w:r>
    </w:p>
    <w:p w14:paraId="7540237D" w14:textId="77777777" w:rsidR="00A7708D" w:rsidRDefault="00000000">
      <w:pPr>
        <w:spacing w:before="500"/>
        <w:jc w:val="center"/>
      </w:pPr>
      <w:r>
        <w:rPr>
          <w:sz w:val="22"/>
          <w:szCs w:val="22"/>
        </w:rPr>
        <w:t>Stack: SQL (T-SQL) · Power BI · Workday-style transactional data</w:t>
      </w:r>
    </w:p>
    <w:p w14:paraId="389E7BD4" w14:textId="2D692A24" w:rsidR="00A7708D" w:rsidRDefault="00000000">
      <w:pPr>
        <w:spacing w:before="800"/>
        <w:jc w:val="center"/>
      </w:pPr>
      <w:r>
        <w:rPr>
          <w:sz w:val="22"/>
          <w:szCs w:val="22"/>
        </w:rPr>
        <w:t xml:space="preserve">Author: </w:t>
      </w:r>
      <w:r w:rsidR="002E60AA" w:rsidRPr="002E60AA">
        <w:rPr>
          <w:sz w:val="22"/>
          <w:szCs w:val="22"/>
        </w:rPr>
        <w:t>Ajay Pratap Singh Lodhi</w:t>
      </w:r>
      <w:r w:rsidR="00D51074">
        <w:rPr>
          <w:sz w:val="22"/>
          <w:szCs w:val="22"/>
        </w:rPr>
        <w:t xml:space="preserve"> (Jr. Data Analyst)</w:t>
      </w:r>
    </w:p>
    <w:p w14:paraId="330152F3" w14:textId="77777777" w:rsidR="00A7708D" w:rsidRDefault="00000000">
      <w:pPr>
        <w:spacing w:before="100"/>
        <w:jc w:val="center"/>
      </w:pPr>
      <w:r>
        <w:rPr>
          <w:sz w:val="22"/>
          <w:szCs w:val="22"/>
        </w:rPr>
        <w:t>July 2026</w:t>
      </w:r>
    </w:p>
    <w:p w14:paraId="54D8136F" w14:textId="77777777" w:rsidR="00A7708D" w:rsidRDefault="00000000">
      <w:r>
        <w:br w:type="page"/>
      </w:r>
    </w:p>
    <w:p w14:paraId="006E7D64" w14:textId="77777777" w:rsidR="00A7708D" w:rsidRDefault="00A7708D">
      <w:pPr>
        <w:sectPr w:rsidR="00A7708D">
          <w:pgSz w:w="12240" w:h="15840"/>
          <w:pgMar w:top="1440" w:right="1440" w:bottom="1440" w:left="1440" w:header="708" w:footer="708" w:gutter="0"/>
          <w:cols w:space="720"/>
          <w:docGrid w:linePitch="360"/>
        </w:sectPr>
      </w:pPr>
    </w:p>
    <w:p w14:paraId="29CD26AB" w14:textId="77777777" w:rsidR="00A7708D" w:rsidRDefault="00000000">
      <w:pPr>
        <w:pStyle w:val="Heading1"/>
        <w:spacing w:before="300" w:after="150"/>
      </w:pPr>
      <w:r>
        <w:lastRenderedPageBreak/>
        <w:t>1. Background &amp; Business Problem</w:t>
      </w:r>
    </w:p>
    <w:p w14:paraId="3E513096" w14:textId="77777777" w:rsidR="00A7708D" w:rsidRDefault="00000000">
      <w:pPr>
        <w:spacing w:after="120"/>
      </w:pPr>
      <w:r>
        <w:t>Finance shared-services teams that run Order-to-Cash (O2C) for enterprise clients sit at the intersection of billing, revenue recognition, and audit control. A typical Contract Accounting (CA) Operations desk manages dozens of clients, each with multiple contracts that get amended, extended, or reversed throughout their lifecycle. Every one of those changes has downstream effects on invoicing, on how much revenue can be recognized under SOX guidance, and on how much work sits unbilled in Work-in-Progress (WIP).</w:t>
      </w:r>
    </w:p>
    <w:p w14:paraId="4BC1ADE4" w14:textId="13A8B78B" w:rsidR="00A7708D" w:rsidRDefault="00000000">
      <w:pPr>
        <w:spacing w:after="120"/>
      </w:pPr>
      <w:r>
        <w:t xml:space="preserve">The problem: this data typically lives across a billing system, an ERP (Workday), and email-based </w:t>
      </w:r>
      <w:proofErr w:type="spellStart"/>
      <w:r>
        <w:t>adhoc</w:t>
      </w:r>
      <w:proofErr w:type="spellEnd"/>
      <w:r>
        <w:t xml:space="preserve"> requests, with no single view that lets an analyst or a controller answer basic questions quickly </w:t>
      </w:r>
      <w:r w:rsidR="002E60AA">
        <w:t xml:space="preserve">- </w:t>
      </w:r>
      <w:r>
        <w:t>Which clients are overdue? Which contracts are sitting on aging WIP? Are we within SOX compliance this month? Are there open audit findings we haven't closed out?</w:t>
      </w:r>
    </w:p>
    <w:p w14:paraId="6038D93F" w14:textId="77777777" w:rsidR="00A7708D" w:rsidRDefault="00000000">
      <w:pPr>
        <w:spacing w:after="120"/>
      </w:pPr>
      <w:r>
        <w:t>This project builds that single view: a relational data model, a SQL analysis layer, and a Power BI dashboard that together give a CA Operations team daily and monthly visibility into billing, revenue, WIP, contract changes, and audit risk.</w:t>
      </w:r>
    </w:p>
    <w:p w14:paraId="7FF3226B" w14:textId="77777777" w:rsidR="00A7708D" w:rsidRDefault="00000000">
      <w:pPr>
        <w:pStyle w:val="Heading1"/>
        <w:spacing w:before="300" w:after="150"/>
      </w:pPr>
      <w:r>
        <w:t>2. Scope</w:t>
      </w:r>
    </w:p>
    <w:p w14:paraId="2D7C6F97" w14:textId="77777777" w:rsidR="00A7708D" w:rsidRDefault="00000000">
      <w:pPr>
        <w:pStyle w:val="ListParagraph"/>
        <w:numPr>
          <w:ilvl w:val="0"/>
          <w:numId w:val="1"/>
        </w:numPr>
        <w:spacing w:after="60"/>
      </w:pPr>
      <w:r>
        <w:t>Model client, contract, invoice, transaction, revenue/WIP, and audit data in a normalized schema.</w:t>
      </w:r>
    </w:p>
    <w:p w14:paraId="19D1AC21" w14:textId="77777777" w:rsidR="00A7708D" w:rsidRDefault="00000000">
      <w:pPr>
        <w:pStyle w:val="ListParagraph"/>
        <w:numPr>
          <w:ilvl w:val="0"/>
          <w:numId w:val="1"/>
        </w:numPr>
        <w:spacing w:after="60"/>
      </w:pPr>
      <w:r>
        <w:t xml:space="preserve">Write SQL to answer the recurring reporting questions a </w:t>
      </w:r>
      <w:proofErr w:type="gramStart"/>
      <w:r>
        <w:t>CA analyst fields</w:t>
      </w:r>
      <w:proofErr w:type="gramEnd"/>
      <w:r>
        <w:t>: invoice status, DSO, revenue recognized vs. billed, WIP aging, SOX compliance, contract modification tracking, and audit resolution.</w:t>
      </w:r>
    </w:p>
    <w:p w14:paraId="1BC53147" w14:textId="77777777" w:rsidR="00A7708D" w:rsidRDefault="00000000">
      <w:pPr>
        <w:pStyle w:val="ListParagraph"/>
        <w:numPr>
          <w:ilvl w:val="0"/>
          <w:numId w:val="1"/>
        </w:numPr>
        <w:spacing w:after="60"/>
      </w:pPr>
      <w:r>
        <w:t>Design a Power BI dashboard that turns those SQL outputs into a set of pages usable in a client review or an internal ops meeting.</w:t>
      </w:r>
    </w:p>
    <w:p w14:paraId="7700289D" w14:textId="77777777" w:rsidR="00A7708D" w:rsidRDefault="00000000">
      <w:pPr>
        <w:pStyle w:val="ListParagraph"/>
        <w:numPr>
          <w:ilvl w:val="0"/>
          <w:numId w:val="1"/>
        </w:numPr>
        <w:spacing w:after="60"/>
      </w:pPr>
      <w:r>
        <w:t>Out of scope: this build uses representative sample data rather than a live ERP feed; in production the same model would connect directly to Workday extracts and a billing system via scheduled refresh.</w:t>
      </w:r>
    </w:p>
    <w:p w14:paraId="5C22F53C" w14:textId="77777777" w:rsidR="00A7708D" w:rsidRDefault="00000000">
      <w:pPr>
        <w:pStyle w:val="Heading1"/>
        <w:spacing w:before="300" w:after="150"/>
      </w:pPr>
      <w:r>
        <w:t>3. Data Model</w:t>
      </w:r>
    </w:p>
    <w:p w14:paraId="4426F5B5" w14:textId="77777777" w:rsidR="00A7708D" w:rsidRDefault="00000000">
      <w:pPr>
        <w:spacing w:after="120"/>
      </w:pPr>
      <w:r>
        <w:t xml:space="preserve">Six tables, related through </w:t>
      </w:r>
      <w:proofErr w:type="spellStart"/>
      <w:r>
        <w:t>client_id</w:t>
      </w:r>
      <w:proofErr w:type="spellEnd"/>
      <w:r>
        <w:t xml:space="preserve"> and </w:t>
      </w:r>
      <w:proofErr w:type="spellStart"/>
      <w:r>
        <w:t>contract_id</w:t>
      </w:r>
      <w:proofErr w:type="spellEnd"/>
      <w:r>
        <w:t>, cover the full O2C lifecycle: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800"/>
      </w:tblGrid>
      <w:tr w:rsidR="00A7708D" w14:paraId="1EDB2BF2"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25AD04B6" w14:textId="77777777" w:rsidR="00A7708D" w:rsidRDefault="00000000">
            <w:r>
              <w:rPr>
                <w:b/>
                <w:bCs/>
                <w:color w:val="FFFFFF"/>
              </w:rPr>
              <w:t>Table</w:t>
            </w:r>
          </w:p>
        </w:tc>
        <w:tc>
          <w:tcPr>
            <w:tcW w:w="1400" w:type="dxa"/>
            <w:shd w:val="clear" w:color="auto" w:fill="1F3864"/>
            <w:tcMar>
              <w:top w:w="80" w:type="dxa"/>
              <w:left w:w="100" w:type="dxa"/>
              <w:bottom w:w="80" w:type="dxa"/>
              <w:right w:w="100" w:type="dxa"/>
            </w:tcMar>
          </w:tcPr>
          <w:p w14:paraId="799A796E" w14:textId="77777777" w:rsidR="00A7708D" w:rsidRDefault="00000000">
            <w:r>
              <w:rPr>
                <w:b/>
                <w:bCs/>
                <w:color w:val="FFFFFF"/>
              </w:rPr>
              <w:t>Rows</w:t>
            </w:r>
          </w:p>
        </w:tc>
        <w:tc>
          <w:tcPr>
            <w:tcW w:w="5800" w:type="dxa"/>
            <w:shd w:val="clear" w:color="auto" w:fill="1F3864"/>
            <w:tcMar>
              <w:top w:w="80" w:type="dxa"/>
              <w:left w:w="100" w:type="dxa"/>
              <w:bottom w:w="80" w:type="dxa"/>
              <w:right w:w="100" w:type="dxa"/>
            </w:tcMar>
          </w:tcPr>
          <w:p w14:paraId="36315D75" w14:textId="77777777" w:rsidR="00A7708D" w:rsidRDefault="00000000">
            <w:r>
              <w:rPr>
                <w:b/>
                <w:bCs/>
                <w:color w:val="FFFFFF"/>
              </w:rPr>
              <w:t>What it captures</w:t>
            </w:r>
          </w:p>
        </w:tc>
      </w:tr>
      <w:tr w:rsidR="00A7708D" w14:paraId="0BB9D47F" w14:textId="77777777">
        <w:tblPrEx>
          <w:tblCellMar>
            <w:top w:w="0" w:type="dxa"/>
            <w:bottom w:w="0" w:type="dxa"/>
          </w:tblCellMar>
        </w:tblPrEx>
        <w:tc>
          <w:tcPr>
            <w:tcW w:w="2600" w:type="dxa"/>
            <w:tcMar>
              <w:top w:w="80" w:type="dxa"/>
              <w:left w:w="100" w:type="dxa"/>
              <w:bottom w:w="80" w:type="dxa"/>
              <w:right w:w="100" w:type="dxa"/>
            </w:tcMar>
          </w:tcPr>
          <w:p w14:paraId="59319F9B" w14:textId="77777777" w:rsidR="00A7708D" w:rsidRDefault="00000000">
            <w:r>
              <w:rPr>
                <w:color w:val="000000"/>
              </w:rPr>
              <w:t>clients</w:t>
            </w:r>
          </w:p>
        </w:tc>
        <w:tc>
          <w:tcPr>
            <w:tcW w:w="1400" w:type="dxa"/>
            <w:tcMar>
              <w:top w:w="80" w:type="dxa"/>
              <w:left w:w="100" w:type="dxa"/>
              <w:bottom w:w="80" w:type="dxa"/>
              <w:right w:w="100" w:type="dxa"/>
            </w:tcMar>
          </w:tcPr>
          <w:p w14:paraId="5FC4DC17" w14:textId="77777777" w:rsidR="00A7708D" w:rsidRDefault="00000000">
            <w:r>
              <w:rPr>
                <w:color w:val="000000"/>
              </w:rPr>
              <w:t>40</w:t>
            </w:r>
          </w:p>
        </w:tc>
        <w:tc>
          <w:tcPr>
            <w:tcW w:w="5800" w:type="dxa"/>
            <w:tcMar>
              <w:top w:w="80" w:type="dxa"/>
              <w:left w:w="100" w:type="dxa"/>
              <w:bottom w:w="80" w:type="dxa"/>
              <w:right w:w="100" w:type="dxa"/>
            </w:tcMar>
          </w:tcPr>
          <w:p w14:paraId="1E3C55F2" w14:textId="784D5881" w:rsidR="00A7708D" w:rsidRDefault="00000000">
            <w:r>
              <w:rPr>
                <w:color w:val="000000"/>
              </w:rPr>
              <w:t xml:space="preserve">Client master data </w:t>
            </w:r>
            <w:r w:rsidR="002E60AA">
              <w:rPr>
                <w:color w:val="000000"/>
              </w:rPr>
              <w:t>-</w:t>
            </w:r>
            <w:r>
              <w:rPr>
                <w:color w:val="000000"/>
              </w:rPr>
              <w:t xml:space="preserve"> industry, region, account manager</w:t>
            </w:r>
          </w:p>
        </w:tc>
      </w:tr>
      <w:tr w:rsidR="00A7708D" w14:paraId="3EF55506" w14:textId="77777777">
        <w:tblPrEx>
          <w:tblCellMar>
            <w:top w:w="0" w:type="dxa"/>
            <w:bottom w:w="0" w:type="dxa"/>
          </w:tblCellMar>
        </w:tblPrEx>
        <w:tc>
          <w:tcPr>
            <w:tcW w:w="2600" w:type="dxa"/>
            <w:tcMar>
              <w:top w:w="80" w:type="dxa"/>
              <w:left w:w="100" w:type="dxa"/>
              <w:bottom w:w="80" w:type="dxa"/>
              <w:right w:w="100" w:type="dxa"/>
            </w:tcMar>
          </w:tcPr>
          <w:p w14:paraId="7319CCB9" w14:textId="77777777" w:rsidR="00A7708D" w:rsidRDefault="00000000">
            <w:r>
              <w:rPr>
                <w:color w:val="000000"/>
              </w:rPr>
              <w:t>contracts</w:t>
            </w:r>
          </w:p>
        </w:tc>
        <w:tc>
          <w:tcPr>
            <w:tcW w:w="1400" w:type="dxa"/>
            <w:tcMar>
              <w:top w:w="80" w:type="dxa"/>
              <w:left w:w="100" w:type="dxa"/>
              <w:bottom w:w="80" w:type="dxa"/>
              <w:right w:w="100" w:type="dxa"/>
            </w:tcMar>
          </w:tcPr>
          <w:p w14:paraId="3FCFC513" w14:textId="77777777" w:rsidR="00A7708D" w:rsidRDefault="00000000">
            <w:r>
              <w:rPr>
                <w:color w:val="000000"/>
              </w:rPr>
              <w:t>106</w:t>
            </w:r>
          </w:p>
        </w:tc>
        <w:tc>
          <w:tcPr>
            <w:tcW w:w="5800" w:type="dxa"/>
            <w:tcMar>
              <w:top w:w="80" w:type="dxa"/>
              <w:left w:w="100" w:type="dxa"/>
              <w:bottom w:w="80" w:type="dxa"/>
              <w:right w:w="100" w:type="dxa"/>
            </w:tcMar>
          </w:tcPr>
          <w:p w14:paraId="20C84B16" w14:textId="77777777" w:rsidR="00A7708D" w:rsidRDefault="00000000">
            <w:r>
              <w:rPr>
                <w:color w:val="000000"/>
              </w:rPr>
              <w:t>Contract terms, value, status, and modification history</w:t>
            </w:r>
          </w:p>
        </w:tc>
      </w:tr>
      <w:tr w:rsidR="00A7708D" w14:paraId="48CBD0CF" w14:textId="77777777">
        <w:tblPrEx>
          <w:tblCellMar>
            <w:top w:w="0" w:type="dxa"/>
            <w:bottom w:w="0" w:type="dxa"/>
          </w:tblCellMar>
        </w:tblPrEx>
        <w:tc>
          <w:tcPr>
            <w:tcW w:w="2600" w:type="dxa"/>
            <w:tcMar>
              <w:top w:w="80" w:type="dxa"/>
              <w:left w:w="100" w:type="dxa"/>
              <w:bottom w:w="80" w:type="dxa"/>
              <w:right w:w="100" w:type="dxa"/>
            </w:tcMar>
          </w:tcPr>
          <w:p w14:paraId="64CB8C56" w14:textId="77777777" w:rsidR="00A7708D" w:rsidRDefault="00000000">
            <w:r>
              <w:rPr>
                <w:color w:val="000000"/>
              </w:rPr>
              <w:t>invoices</w:t>
            </w:r>
          </w:p>
        </w:tc>
        <w:tc>
          <w:tcPr>
            <w:tcW w:w="1400" w:type="dxa"/>
            <w:tcMar>
              <w:top w:w="80" w:type="dxa"/>
              <w:left w:w="100" w:type="dxa"/>
              <w:bottom w:w="80" w:type="dxa"/>
              <w:right w:w="100" w:type="dxa"/>
            </w:tcMar>
          </w:tcPr>
          <w:p w14:paraId="6FD3B22E" w14:textId="77777777" w:rsidR="00A7708D" w:rsidRDefault="00000000">
            <w:r>
              <w:rPr>
                <w:color w:val="000000"/>
              </w:rPr>
              <w:t>783</w:t>
            </w:r>
          </w:p>
        </w:tc>
        <w:tc>
          <w:tcPr>
            <w:tcW w:w="5800" w:type="dxa"/>
            <w:tcMar>
              <w:top w:w="80" w:type="dxa"/>
              <w:left w:w="100" w:type="dxa"/>
              <w:bottom w:w="80" w:type="dxa"/>
              <w:right w:w="100" w:type="dxa"/>
            </w:tcMar>
          </w:tcPr>
          <w:p w14:paraId="276780FA" w14:textId="77777777" w:rsidR="00A7708D" w:rsidRDefault="00000000">
            <w:r>
              <w:rPr>
                <w:color w:val="000000"/>
              </w:rPr>
              <w:t>Monthly invoices with amount, due date, and payment status</w:t>
            </w:r>
          </w:p>
        </w:tc>
      </w:tr>
      <w:tr w:rsidR="00A7708D" w14:paraId="5E8F5668" w14:textId="77777777">
        <w:tblPrEx>
          <w:tblCellMar>
            <w:top w:w="0" w:type="dxa"/>
            <w:bottom w:w="0" w:type="dxa"/>
          </w:tblCellMar>
        </w:tblPrEx>
        <w:tc>
          <w:tcPr>
            <w:tcW w:w="2600" w:type="dxa"/>
            <w:tcMar>
              <w:top w:w="80" w:type="dxa"/>
              <w:left w:w="100" w:type="dxa"/>
              <w:bottom w:w="80" w:type="dxa"/>
              <w:right w:w="100" w:type="dxa"/>
            </w:tcMar>
          </w:tcPr>
          <w:p w14:paraId="4E1674CF" w14:textId="77777777" w:rsidR="00A7708D" w:rsidRDefault="00000000">
            <w:r>
              <w:rPr>
                <w:color w:val="000000"/>
              </w:rPr>
              <w:t>transactions</w:t>
            </w:r>
          </w:p>
        </w:tc>
        <w:tc>
          <w:tcPr>
            <w:tcW w:w="1400" w:type="dxa"/>
            <w:tcMar>
              <w:top w:w="80" w:type="dxa"/>
              <w:left w:w="100" w:type="dxa"/>
              <w:bottom w:w="80" w:type="dxa"/>
              <w:right w:w="100" w:type="dxa"/>
            </w:tcMar>
          </w:tcPr>
          <w:p w14:paraId="4E8BFA59" w14:textId="77777777" w:rsidR="00A7708D" w:rsidRDefault="00000000">
            <w:r>
              <w:rPr>
                <w:color w:val="000000"/>
              </w:rPr>
              <w:t>580</w:t>
            </w:r>
          </w:p>
        </w:tc>
        <w:tc>
          <w:tcPr>
            <w:tcW w:w="5800" w:type="dxa"/>
            <w:tcMar>
              <w:top w:w="80" w:type="dxa"/>
              <w:left w:w="100" w:type="dxa"/>
              <w:bottom w:w="80" w:type="dxa"/>
              <w:right w:w="100" w:type="dxa"/>
            </w:tcMar>
          </w:tcPr>
          <w:p w14:paraId="6B0FF74E" w14:textId="77777777" w:rsidR="00A7708D" w:rsidRDefault="00000000">
            <w:r>
              <w:rPr>
                <w:color w:val="000000"/>
              </w:rPr>
              <w:t>Workday-style billing/adjustment/reversal transaction log</w:t>
            </w:r>
          </w:p>
        </w:tc>
      </w:tr>
      <w:tr w:rsidR="00A7708D" w14:paraId="640EB295" w14:textId="77777777">
        <w:tblPrEx>
          <w:tblCellMar>
            <w:top w:w="0" w:type="dxa"/>
            <w:bottom w:w="0" w:type="dxa"/>
          </w:tblCellMar>
        </w:tblPrEx>
        <w:tc>
          <w:tcPr>
            <w:tcW w:w="2600" w:type="dxa"/>
            <w:tcMar>
              <w:top w:w="80" w:type="dxa"/>
              <w:left w:w="100" w:type="dxa"/>
              <w:bottom w:w="80" w:type="dxa"/>
              <w:right w:w="100" w:type="dxa"/>
            </w:tcMar>
          </w:tcPr>
          <w:p w14:paraId="3BF2C35A" w14:textId="77777777" w:rsidR="00A7708D" w:rsidRDefault="00000000">
            <w:proofErr w:type="spellStart"/>
            <w:r>
              <w:rPr>
                <w:color w:val="000000"/>
              </w:rPr>
              <w:t>revenue_wip</w:t>
            </w:r>
            <w:proofErr w:type="spellEnd"/>
          </w:p>
        </w:tc>
        <w:tc>
          <w:tcPr>
            <w:tcW w:w="1400" w:type="dxa"/>
            <w:tcMar>
              <w:top w:w="80" w:type="dxa"/>
              <w:left w:w="100" w:type="dxa"/>
              <w:bottom w:w="80" w:type="dxa"/>
              <w:right w:w="100" w:type="dxa"/>
            </w:tcMar>
          </w:tcPr>
          <w:p w14:paraId="6B3D18ED" w14:textId="77777777" w:rsidR="00A7708D" w:rsidRDefault="00000000">
            <w:r>
              <w:rPr>
                <w:color w:val="000000"/>
              </w:rPr>
              <w:t>1,272</w:t>
            </w:r>
          </w:p>
        </w:tc>
        <w:tc>
          <w:tcPr>
            <w:tcW w:w="5800" w:type="dxa"/>
            <w:tcMar>
              <w:top w:w="80" w:type="dxa"/>
              <w:left w:w="100" w:type="dxa"/>
              <w:bottom w:w="80" w:type="dxa"/>
              <w:right w:w="100" w:type="dxa"/>
            </w:tcMar>
          </w:tcPr>
          <w:p w14:paraId="21F23602" w14:textId="77777777" w:rsidR="00A7708D" w:rsidRDefault="00000000">
            <w:r>
              <w:rPr>
                <w:color w:val="000000"/>
              </w:rPr>
              <w:t>Monthly billed vs. recognized revenue vs. WIP, with a SOX compliance flag</w:t>
            </w:r>
          </w:p>
        </w:tc>
      </w:tr>
      <w:tr w:rsidR="00A7708D" w14:paraId="7D4F3784" w14:textId="77777777">
        <w:tblPrEx>
          <w:tblCellMar>
            <w:top w:w="0" w:type="dxa"/>
            <w:bottom w:w="0" w:type="dxa"/>
          </w:tblCellMar>
        </w:tblPrEx>
        <w:tc>
          <w:tcPr>
            <w:tcW w:w="2600" w:type="dxa"/>
            <w:tcMar>
              <w:top w:w="80" w:type="dxa"/>
              <w:left w:w="100" w:type="dxa"/>
              <w:bottom w:w="80" w:type="dxa"/>
              <w:right w:w="100" w:type="dxa"/>
            </w:tcMar>
          </w:tcPr>
          <w:p w14:paraId="22E5DF63" w14:textId="77777777" w:rsidR="00A7708D" w:rsidRDefault="00000000">
            <w:proofErr w:type="spellStart"/>
            <w:r>
              <w:rPr>
                <w:color w:val="000000"/>
              </w:rPr>
              <w:t>audit_log</w:t>
            </w:r>
            <w:proofErr w:type="spellEnd"/>
          </w:p>
        </w:tc>
        <w:tc>
          <w:tcPr>
            <w:tcW w:w="1400" w:type="dxa"/>
            <w:tcMar>
              <w:top w:w="80" w:type="dxa"/>
              <w:left w:w="100" w:type="dxa"/>
              <w:bottom w:w="80" w:type="dxa"/>
              <w:right w:w="100" w:type="dxa"/>
            </w:tcMar>
          </w:tcPr>
          <w:p w14:paraId="67B7A9F6" w14:textId="77777777" w:rsidR="00A7708D" w:rsidRDefault="00000000">
            <w:r>
              <w:rPr>
                <w:color w:val="000000"/>
              </w:rPr>
              <w:t>25</w:t>
            </w:r>
          </w:p>
        </w:tc>
        <w:tc>
          <w:tcPr>
            <w:tcW w:w="5800" w:type="dxa"/>
            <w:tcMar>
              <w:top w:w="80" w:type="dxa"/>
              <w:left w:w="100" w:type="dxa"/>
              <w:bottom w:w="80" w:type="dxa"/>
              <w:right w:w="100" w:type="dxa"/>
            </w:tcMar>
          </w:tcPr>
          <w:p w14:paraId="0C0029C6" w14:textId="77777777" w:rsidR="00A7708D" w:rsidRDefault="00000000">
            <w:r>
              <w:rPr>
                <w:color w:val="000000"/>
              </w:rPr>
              <w:t>Audit findings raised against contracts, with resolution status</w:t>
            </w:r>
          </w:p>
        </w:tc>
      </w:tr>
    </w:tbl>
    <w:p w14:paraId="6311B1B2" w14:textId="77777777" w:rsidR="00A7708D" w:rsidRDefault="00A7708D">
      <w:pPr>
        <w:spacing w:after="120"/>
      </w:pPr>
    </w:p>
    <w:p w14:paraId="38DAE57D" w14:textId="77777777" w:rsidR="00A7708D" w:rsidRDefault="00000000">
      <w:pPr>
        <w:spacing w:after="120"/>
      </w:pPr>
      <w:r>
        <w:t xml:space="preserve">Relationship structure: clients (1) → contracts (many) → invoices / transactions / </w:t>
      </w:r>
      <w:proofErr w:type="spellStart"/>
      <w:r>
        <w:t>revenue_wip</w:t>
      </w:r>
      <w:proofErr w:type="spellEnd"/>
      <w:r>
        <w:t xml:space="preserve"> / </w:t>
      </w:r>
      <w:proofErr w:type="spellStart"/>
      <w:r>
        <w:t>audit_log</w:t>
      </w:r>
      <w:proofErr w:type="spellEnd"/>
      <w:r>
        <w:t xml:space="preserve"> (many each). This is a star-like schema that maps directly onto Power BI's relationship model, with contracts sitting at the </w:t>
      </w:r>
      <w:proofErr w:type="spellStart"/>
      <w:r>
        <w:t>center</w:t>
      </w:r>
      <w:proofErr w:type="spellEnd"/>
      <w:r>
        <w:t>.</w:t>
      </w:r>
    </w:p>
    <w:p w14:paraId="79019836" w14:textId="77777777" w:rsidR="002E60AA" w:rsidRDefault="002E60AA">
      <w:pPr>
        <w:pStyle w:val="Heading1"/>
        <w:spacing w:before="300" w:after="150"/>
      </w:pPr>
    </w:p>
    <w:p w14:paraId="40A2AE7F" w14:textId="4A494C51" w:rsidR="00A7708D" w:rsidRDefault="00000000">
      <w:pPr>
        <w:pStyle w:val="Heading1"/>
        <w:spacing w:before="300" w:after="150"/>
      </w:pPr>
      <w:r>
        <w:lastRenderedPageBreak/>
        <w:t>4. SQL Layer</w:t>
      </w:r>
    </w:p>
    <w:p w14:paraId="3C0D1FEB" w14:textId="77777777" w:rsidR="00A7708D" w:rsidRDefault="00000000">
      <w:pPr>
        <w:pStyle w:val="Heading2"/>
        <w:spacing w:before="250" w:after="120"/>
      </w:pPr>
      <w:r>
        <w:t>4.1 Schema</w:t>
      </w:r>
    </w:p>
    <w:p w14:paraId="5E8E55C8" w14:textId="77777777" w:rsidR="00A7708D" w:rsidRDefault="00000000">
      <w:pPr>
        <w:spacing w:after="120"/>
      </w:pPr>
      <w:r>
        <w:t>01_schema.sql defines all six tables with primary/foreign keys and indexes on every join column used by the reporting queries.</w:t>
      </w:r>
    </w:p>
    <w:p w14:paraId="157DCA93" w14:textId="77777777" w:rsidR="00A7708D" w:rsidRDefault="00000000">
      <w:pPr>
        <w:pStyle w:val="Heading2"/>
        <w:spacing w:before="250" w:after="120"/>
      </w:pPr>
      <w:r>
        <w:t>4.2 Data Load</w:t>
      </w:r>
    </w:p>
    <w:p w14:paraId="15D138FB" w14:textId="77777777" w:rsidR="00A7708D" w:rsidRDefault="00000000">
      <w:pPr>
        <w:spacing w:after="120"/>
      </w:pPr>
      <w:r>
        <w:t>02_load_data.sql loads the source CSVs via BULK INSERT (T-SQL syntax shown; LOAD DATA INFILE / \copy equivalents are noted for MySQL and PostgreSQL).</w:t>
      </w:r>
    </w:p>
    <w:p w14:paraId="1683A4EA" w14:textId="77777777" w:rsidR="00A7708D" w:rsidRDefault="00000000">
      <w:pPr>
        <w:pStyle w:val="Heading2"/>
        <w:spacing w:before="250" w:after="120"/>
      </w:pPr>
      <w:r>
        <w:t>4.3 Analysis Queries</w:t>
      </w:r>
    </w:p>
    <w:p w14:paraId="535A7388" w14:textId="2C1F4CCC" w:rsidR="00A7708D" w:rsidRDefault="00000000">
      <w:pPr>
        <w:spacing w:after="120"/>
      </w:pPr>
      <w:r>
        <w:t xml:space="preserve">03_analysis_queries.sql contains ten production-style queries </w:t>
      </w:r>
      <w:r w:rsidR="002E60AA">
        <w:t>-</w:t>
      </w:r>
      <w:r>
        <w:t xml:space="preserve"> the same ones that feed the Power BI dashboard directly: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600"/>
        <w:gridCol w:w="2900"/>
      </w:tblGrid>
      <w:tr w:rsidR="00A7708D" w14:paraId="4D002437" w14:textId="77777777">
        <w:tblPrEx>
          <w:tblCellMar>
            <w:top w:w="0" w:type="dxa"/>
            <w:bottom w:w="0" w:type="dxa"/>
          </w:tblCellMar>
        </w:tblPrEx>
        <w:tc>
          <w:tcPr>
            <w:tcW w:w="3300" w:type="dxa"/>
            <w:shd w:val="clear" w:color="auto" w:fill="1F3864"/>
            <w:tcMar>
              <w:top w:w="80" w:type="dxa"/>
              <w:left w:w="100" w:type="dxa"/>
              <w:bottom w:w="80" w:type="dxa"/>
              <w:right w:w="100" w:type="dxa"/>
            </w:tcMar>
          </w:tcPr>
          <w:p w14:paraId="500F1008" w14:textId="77777777" w:rsidR="00A7708D" w:rsidRDefault="00000000">
            <w:r>
              <w:rPr>
                <w:b/>
                <w:bCs/>
                <w:color w:val="FFFFFF"/>
              </w:rPr>
              <w:t>Query</w:t>
            </w:r>
          </w:p>
        </w:tc>
        <w:tc>
          <w:tcPr>
            <w:tcW w:w="3600" w:type="dxa"/>
            <w:shd w:val="clear" w:color="auto" w:fill="1F3864"/>
            <w:tcMar>
              <w:top w:w="80" w:type="dxa"/>
              <w:left w:w="100" w:type="dxa"/>
              <w:bottom w:w="80" w:type="dxa"/>
              <w:right w:w="100" w:type="dxa"/>
            </w:tcMar>
          </w:tcPr>
          <w:p w14:paraId="6CE6E4C3" w14:textId="77777777" w:rsidR="00A7708D" w:rsidRDefault="00000000">
            <w:r>
              <w:rPr>
                <w:b/>
                <w:bCs/>
                <w:color w:val="FFFFFF"/>
              </w:rPr>
              <w:t>What it answers</w:t>
            </w:r>
          </w:p>
        </w:tc>
        <w:tc>
          <w:tcPr>
            <w:tcW w:w="2900" w:type="dxa"/>
            <w:shd w:val="clear" w:color="auto" w:fill="1F3864"/>
            <w:tcMar>
              <w:top w:w="80" w:type="dxa"/>
              <w:left w:w="100" w:type="dxa"/>
              <w:bottom w:w="80" w:type="dxa"/>
              <w:right w:w="100" w:type="dxa"/>
            </w:tcMar>
          </w:tcPr>
          <w:p w14:paraId="70E2EF38" w14:textId="77777777" w:rsidR="00A7708D" w:rsidRDefault="00000000">
            <w:r>
              <w:rPr>
                <w:b/>
                <w:bCs/>
                <w:color w:val="FFFFFF"/>
              </w:rPr>
              <w:t>Primary table(s)</w:t>
            </w:r>
          </w:p>
        </w:tc>
      </w:tr>
      <w:tr w:rsidR="00A7708D" w14:paraId="408E3F12" w14:textId="77777777">
        <w:tblPrEx>
          <w:tblCellMar>
            <w:top w:w="0" w:type="dxa"/>
            <w:bottom w:w="0" w:type="dxa"/>
          </w:tblCellMar>
        </w:tblPrEx>
        <w:tc>
          <w:tcPr>
            <w:tcW w:w="3300" w:type="dxa"/>
            <w:tcMar>
              <w:top w:w="80" w:type="dxa"/>
              <w:left w:w="100" w:type="dxa"/>
              <w:bottom w:w="80" w:type="dxa"/>
              <w:right w:w="100" w:type="dxa"/>
            </w:tcMar>
          </w:tcPr>
          <w:p w14:paraId="197A28FA" w14:textId="77777777" w:rsidR="00A7708D" w:rsidRDefault="00000000">
            <w:r>
              <w:rPr>
                <w:color w:val="000000"/>
              </w:rPr>
              <w:t>Monthly Invoice Summary</w:t>
            </w:r>
          </w:p>
        </w:tc>
        <w:tc>
          <w:tcPr>
            <w:tcW w:w="3600" w:type="dxa"/>
            <w:tcMar>
              <w:top w:w="80" w:type="dxa"/>
              <w:left w:w="100" w:type="dxa"/>
              <w:bottom w:w="80" w:type="dxa"/>
              <w:right w:w="100" w:type="dxa"/>
            </w:tcMar>
          </w:tcPr>
          <w:p w14:paraId="7E82ADDF" w14:textId="77777777" w:rsidR="00A7708D" w:rsidRDefault="00000000">
            <w:r>
              <w:rPr>
                <w:color w:val="000000"/>
              </w:rPr>
              <w:t>Invoiced, collected &amp; outstanding by month</w:t>
            </w:r>
          </w:p>
        </w:tc>
        <w:tc>
          <w:tcPr>
            <w:tcW w:w="2900" w:type="dxa"/>
            <w:tcMar>
              <w:top w:w="80" w:type="dxa"/>
              <w:left w:w="100" w:type="dxa"/>
              <w:bottom w:w="80" w:type="dxa"/>
              <w:right w:w="100" w:type="dxa"/>
            </w:tcMar>
          </w:tcPr>
          <w:p w14:paraId="765546E9" w14:textId="77777777" w:rsidR="00A7708D" w:rsidRDefault="00000000">
            <w:r>
              <w:rPr>
                <w:color w:val="000000"/>
              </w:rPr>
              <w:t>invoices</w:t>
            </w:r>
          </w:p>
        </w:tc>
      </w:tr>
      <w:tr w:rsidR="00A7708D" w14:paraId="15151034" w14:textId="77777777">
        <w:tblPrEx>
          <w:tblCellMar>
            <w:top w:w="0" w:type="dxa"/>
            <w:bottom w:w="0" w:type="dxa"/>
          </w:tblCellMar>
        </w:tblPrEx>
        <w:tc>
          <w:tcPr>
            <w:tcW w:w="3300" w:type="dxa"/>
            <w:tcMar>
              <w:top w:w="80" w:type="dxa"/>
              <w:left w:w="100" w:type="dxa"/>
              <w:bottom w:w="80" w:type="dxa"/>
              <w:right w:w="100" w:type="dxa"/>
            </w:tcMar>
          </w:tcPr>
          <w:p w14:paraId="2C167B12" w14:textId="77777777" w:rsidR="00A7708D" w:rsidRDefault="00000000">
            <w:r>
              <w:rPr>
                <w:color w:val="000000"/>
              </w:rPr>
              <w:t>DSO by Client</w:t>
            </w:r>
          </w:p>
        </w:tc>
        <w:tc>
          <w:tcPr>
            <w:tcW w:w="3600" w:type="dxa"/>
            <w:tcMar>
              <w:top w:w="80" w:type="dxa"/>
              <w:left w:w="100" w:type="dxa"/>
              <w:bottom w:w="80" w:type="dxa"/>
              <w:right w:w="100" w:type="dxa"/>
            </w:tcMar>
          </w:tcPr>
          <w:p w14:paraId="757C19BB" w14:textId="77777777" w:rsidR="00A7708D" w:rsidRDefault="00000000">
            <w:r>
              <w:rPr>
                <w:color w:val="000000"/>
              </w:rPr>
              <w:t>Credit terms vs. actual collection days</w:t>
            </w:r>
          </w:p>
        </w:tc>
        <w:tc>
          <w:tcPr>
            <w:tcW w:w="2900" w:type="dxa"/>
            <w:tcMar>
              <w:top w:w="80" w:type="dxa"/>
              <w:left w:w="100" w:type="dxa"/>
              <w:bottom w:w="80" w:type="dxa"/>
              <w:right w:w="100" w:type="dxa"/>
            </w:tcMar>
          </w:tcPr>
          <w:p w14:paraId="34F423FA" w14:textId="77777777" w:rsidR="00A7708D" w:rsidRDefault="00000000">
            <w:r>
              <w:rPr>
                <w:color w:val="000000"/>
              </w:rPr>
              <w:t>invoices, contracts, clients</w:t>
            </w:r>
          </w:p>
        </w:tc>
      </w:tr>
      <w:tr w:rsidR="00A7708D" w14:paraId="61D476BC" w14:textId="77777777">
        <w:tblPrEx>
          <w:tblCellMar>
            <w:top w:w="0" w:type="dxa"/>
            <w:bottom w:w="0" w:type="dxa"/>
          </w:tblCellMar>
        </w:tblPrEx>
        <w:tc>
          <w:tcPr>
            <w:tcW w:w="3300" w:type="dxa"/>
            <w:tcMar>
              <w:top w:w="80" w:type="dxa"/>
              <w:left w:w="100" w:type="dxa"/>
              <w:bottom w:w="80" w:type="dxa"/>
              <w:right w:w="100" w:type="dxa"/>
            </w:tcMar>
          </w:tcPr>
          <w:p w14:paraId="641B6152" w14:textId="77777777" w:rsidR="00A7708D" w:rsidRDefault="00000000">
            <w:r>
              <w:rPr>
                <w:color w:val="000000"/>
              </w:rPr>
              <w:t>Invoice Aging / Status Mix</w:t>
            </w:r>
          </w:p>
        </w:tc>
        <w:tc>
          <w:tcPr>
            <w:tcW w:w="3600" w:type="dxa"/>
            <w:tcMar>
              <w:top w:w="80" w:type="dxa"/>
              <w:left w:w="100" w:type="dxa"/>
              <w:bottom w:w="80" w:type="dxa"/>
              <w:right w:w="100" w:type="dxa"/>
            </w:tcMar>
          </w:tcPr>
          <w:p w14:paraId="09717D1B" w14:textId="77777777" w:rsidR="00A7708D" w:rsidRDefault="00000000">
            <w:r>
              <w:rPr>
                <w:color w:val="000000"/>
              </w:rPr>
              <w:t>Split of Paid / Outstanding / Overdue / Disputed</w:t>
            </w:r>
          </w:p>
        </w:tc>
        <w:tc>
          <w:tcPr>
            <w:tcW w:w="2900" w:type="dxa"/>
            <w:tcMar>
              <w:top w:w="80" w:type="dxa"/>
              <w:left w:w="100" w:type="dxa"/>
              <w:bottom w:w="80" w:type="dxa"/>
              <w:right w:w="100" w:type="dxa"/>
            </w:tcMar>
          </w:tcPr>
          <w:p w14:paraId="61D92104" w14:textId="77777777" w:rsidR="00A7708D" w:rsidRDefault="00000000">
            <w:r>
              <w:rPr>
                <w:color w:val="000000"/>
              </w:rPr>
              <w:t>invoices</w:t>
            </w:r>
          </w:p>
        </w:tc>
      </w:tr>
      <w:tr w:rsidR="00A7708D" w14:paraId="68DA82A9" w14:textId="77777777">
        <w:tblPrEx>
          <w:tblCellMar>
            <w:top w:w="0" w:type="dxa"/>
            <w:bottom w:w="0" w:type="dxa"/>
          </w:tblCellMar>
        </w:tblPrEx>
        <w:tc>
          <w:tcPr>
            <w:tcW w:w="3300" w:type="dxa"/>
            <w:tcMar>
              <w:top w:w="80" w:type="dxa"/>
              <w:left w:w="100" w:type="dxa"/>
              <w:bottom w:w="80" w:type="dxa"/>
              <w:right w:w="100" w:type="dxa"/>
            </w:tcMar>
          </w:tcPr>
          <w:p w14:paraId="2EDBF3CC" w14:textId="77777777" w:rsidR="00A7708D" w:rsidRDefault="00000000">
            <w:r>
              <w:rPr>
                <w:color w:val="000000"/>
              </w:rPr>
              <w:t>Revenue Recognized vs Billed vs WIP</w:t>
            </w:r>
          </w:p>
        </w:tc>
        <w:tc>
          <w:tcPr>
            <w:tcW w:w="3600" w:type="dxa"/>
            <w:tcMar>
              <w:top w:w="80" w:type="dxa"/>
              <w:left w:w="100" w:type="dxa"/>
              <w:bottom w:w="80" w:type="dxa"/>
              <w:right w:w="100" w:type="dxa"/>
            </w:tcMar>
          </w:tcPr>
          <w:p w14:paraId="4724A95C" w14:textId="77777777" w:rsidR="00A7708D" w:rsidRDefault="00000000">
            <w:r>
              <w:rPr>
                <w:color w:val="000000"/>
              </w:rPr>
              <w:t>Monthly revenue recognition trend</w:t>
            </w:r>
          </w:p>
        </w:tc>
        <w:tc>
          <w:tcPr>
            <w:tcW w:w="2900" w:type="dxa"/>
            <w:tcMar>
              <w:top w:w="80" w:type="dxa"/>
              <w:left w:w="100" w:type="dxa"/>
              <w:bottom w:w="80" w:type="dxa"/>
              <w:right w:w="100" w:type="dxa"/>
            </w:tcMar>
          </w:tcPr>
          <w:p w14:paraId="6481F680" w14:textId="77777777" w:rsidR="00A7708D" w:rsidRDefault="00000000">
            <w:proofErr w:type="spellStart"/>
            <w:r>
              <w:rPr>
                <w:color w:val="000000"/>
              </w:rPr>
              <w:t>revenue_wip</w:t>
            </w:r>
            <w:proofErr w:type="spellEnd"/>
          </w:p>
        </w:tc>
      </w:tr>
      <w:tr w:rsidR="00A7708D" w14:paraId="01ACDE36" w14:textId="77777777">
        <w:tblPrEx>
          <w:tblCellMar>
            <w:top w:w="0" w:type="dxa"/>
            <w:bottom w:w="0" w:type="dxa"/>
          </w:tblCellMar>
        </w:tblPrEx>
        <w:tc>
          <w:tcPr>
            <w:tcW w:w="3300" w:type="dxa"/>
            <w:tcMar>
              <w:top w:w="80" w:type="dxa"/>
              <w:left w:w="100" w:type="dxa"/>
              <w:bottom w:w="80" w:type="dxa"/>
              <w:right w:w="100" w:type="dxa"/>
            </w:tcMar>
          </w:tcPr>
          <w:p w14:paraId="21D37865" w14:textId="77777777" w:rsidR="00A7708D" w:rsidRDefault="00000000">
            <w:r>
              <w:rPr>
                <w:color w:val="000000"/>
              </w:rPr>
              <w:t>WIP Aging by Contract</w:t>
            </w:r>
          </w:p>
        </w:tc>
        <w:tc>
          <w:tcPr>
            <w:tcW w:w="3600" w:type="dxa"/>
            <w:tcMar>
              <w:top w:w="80" w:type="dxa"/>
              <w:left w:w="100" w:type="dxa"/>
              <w:bottom w:w="80" w:type="dxa"/>
              <w:right w:w="100" w:type="dxa"/>
            </w:tcMar>
          </w:tcPr>
          <w:p w14:paraId="48BE7CDA" w14:textId="77777777" w:rsidR="00A7708D" w:rsidRDefault="00000000">
            <w:r>
              <w:rPr>
                <w:color w:val="000000"/>
              </w:rPr>
              <w:t>Outstanding unbilled/unrecognized work per contract</w:t>
            </w:r>
          </w:p>
        </w:tc>
        <w:tc>
          <w:tcPr>
            <w:tcW w:w="2900" w:type="dxa"/>
            <w:tcMar>
              <w:top w:w="80" w:type="dxa"/>
              <w:left w:w="100" w:type="dxa"/>
              <w:bottom w:w="80" w:type="dxa"/>
              <w:right w:w="100" w:type="dxa"/>
            </w:tcMar>
          </w:tcPr>
          <w:p w14:paraId="4EC89FF2" w14:textId="77777777" w:rsidR="00A7708D" w:rsidRDefault="00000000">
            <w:proofErr w:type="spellStart"/>
            <w:r>
              <w:rPr>
                <w:color w:val="000000"/>
              </w:rPr>
              <w:t>revenue_wip</w:t>
            </w:r>
            <w:proofErr w:type="spellEnd"/>
            <w:r>
              <w:rPr>
                <w:color w:val="000000"/>
              </w:rPr>
              <w:t>, contracts, clients</w:t>
            </w:r>
          </w:p>
        </w:tc>
      </w:tr>
      <w:tr w:rsidR="00A7708D" w14:paraId="3F9B5104" w14:textId="77777777">
        <w:tblPrEx>
          <w:tblCellMar>
            <w:top w:w="0" w:type="dxa"/>
            <w:bottom w:w="0" w:type="dxa"/>
          </w:tblCellMar>
        </w:tblPrEx>
        <w:tc>
          <w:tcPr>
            <w:tcW w:w="3300" w:type="dxa"/>
            <w:tcMar>
              <w:top w:w="80" w:type="dxa"/>
              <w:left w:w="100" w:type="dxa"/>
              <w:bottom w:w="80" w:type="dxa"/>
              <w:right w:w="100" w:type="dxa"/>
            </w:tcMar>
          </w:tcPr>
          <w:p w14:paraId="5FD5622E" w14:textId="77777777" w:rsidR="00A7708D" w:rsidRDefault="00000000">
            <w:r>
              <w:rPr>
                <w:color w:val="000000"/>
              </w:rPr>
              <w:t>SOX Compliance Rate</w:t>
            </w:r>
          </w:p>
        </w:tc>
        <w:tc>
          <w:tcPr>
            <w:tcW w:w="3600" w:type="dxa"/>
            <w:tcMar>
              <w:top w:w="80" w:type="dxa"/>
              <w:left w:w="100" w:type="dxa"/>
              <w:bottom w:w="80" w:type="dxa"/>
              <w:right w:w="100" w:type="dxa"/>
            </w:tcMar>
          </w:tcPr>
          <w:p w14:paraId="18247122" w14:textId="77777777" w:rsidR="00A7708D" w:rsidRDefault="00000000">
            <w:r>
              <w:rPr>
                <w:color w:val="000000"/>
              </w:rPr>
              <w:t>% of records compliant + audit flags raised</w:t>
            </w:r>
          </w:p>
        </w:tc>
        <w:tc>
          <w:tcPr>
            <w:tcW w:w="2900" w:type="dxa"/>
            <w:tcMar>
              <w:top w:w="80" w:type="dxa"/>
              <w:left w:w="100" w:type="dxa"/>
              <w:bottom w:w="80" w:type="dxa"/>
              <w:right w:w="100" w:type="dxa"/>
            </w:tcMar>
          </w:tcPr>
          <w:p w14:paraId="4914D77A" w14:textId="77777777" w:rsidR="00A7708D" w:rsidRDefault="00000000">
            <w:proofErr w:type="spellStart"/>
            <w:r>
              <w:rPr>
                <w:color w:val="000000"/>
              </w:rPr>
              <w:t>revenue_wip</w:t>
            </w:r>
            <w:proofErr w:type="spellEnd"/>
          </w:p>
        </w:tc>
      </w:tr>
      <w:tr w:rsidR="00A7708D" w14:paraId="71CBAD07" w14:textId="77777777">
        <w:tblPrEx>
          <w:tblCellMar>
            <w:top w:w="0" w:type="dxa"/>
            <w:bottom w:w="0" w:type="dxa"/>
          </w:tblCellMar>
        </w:tblPrEx>
        <w:tc>
          <w:tcPr>
            <w:tcW w:w="3300" w:type="dxa"/>
            <w:tcMar>
              <w:top w:w="80" w:type="dxa"/>
              <w:left w:w="100" w:type="dxa"/>
              <w:bottom w:w="80" w:type="dxa"/>
              <w:right w:w="100" w:type="dxa"/>
            </w:tcMar>
          </w:tcPr>
          <w:p w14:paraId="447FDD4C" w14:textId="77777777" w:rsidR="00A7708D" w:rsidRDefault="00000000">
            <w:r>
              <w:rPr>
                <w:color w:val="000000"/>
              </w:rPr>
              <w:t>Audit Findings &amp; Resolution</w:t>
            </w:r>
          </w:p>
        </w:tc>
        <w:tc>
          <w:tcPr>
            <w:tcW w:w="3600" w:type="dxa"/>
            <w:tcMar>
              <w:top w:w="80" w:type="dxa"/>
              <w:left w:w="100" w:type="dxa"/>
              <w:bottom w:w="80" w:type="dxa"/>
              <w:right w:w="100" w:type="dxa"/>
            </w:tcMar>
          </w:tcPr>
          <w:p w14:paraId="78597416" w14:textId="77777777" w:rsidR="00A7708D" w:rsidRDefault="00000000">
            <w:r>
              <w:rPr>
                <w:color w:val="000000"/>
              </w:rPr>
              <w:t>Findings by type and resolution status</w:t>
            </w:r>
          </w:p>
        </w:tc>
        <w:tc>
          <w:tcPr>
            <w:tcW w:w="2900" w:type="dxa"/>
            <w:tcMar>
              <w:top w:w="80" w:type="dxa"/>
              <w:left w:w="100" w:type="dxa"/>
              <w:bottom w:w="80" w:type="dxa"/>
              <w:right w:w="100" w:type="dxa"/>
            </w:tcMar>
          </w:tcPr>
          <w:p w14:paraId="1AC77B23" w14:textId="77777777" w:rsidR="00A7708D" w:rsidRDefault="00000000">
            <w:proofErr w:type="spellStart"/>
            <w:r>
              <w:rPr>
                <w:color w:val="000000"/>
              </w:rPr>
              <w:t>audit_log</w:t>
            </w:r>
            <w:proofErr w:type="spellEnd"/>
          </w:p>
        </w:tc>
      </w:tr>
      <w:tr w:rsidR="00A7708D" w14:paraId="63528B00" w14:textId="77777777">
        <w:tblPrEx>
          <w:tblCellMar>
            <w:top w:w="0" w:type="dxa"/>
            <w:bottom w:w="0" w:type="dxa"/>
          </w:tblCellMar>
        </w:tblPrEx>
        <w:tc>
          <w:tcPr>
            <w:tcW w:w="3300" w:type="dxa"/>
            <w:tcMar>
              <w:top w:w="80" w:type="dxa"/>
              <w:left w:w="100" w:type="dxa"/>
              <w:bottom w:w="80" w:type="dxa"/>
              <w:right w:w="100" w:type="dxa"/>
            </w:tcMar>
          </w:tcPr>
          <w:p w14:paraId="2DB9D20A" w14:textId="77777777" w:rsidR="00A7708D" w:rsidRDefault="00000000">
            <w:r>
              <w:rPr>
                <w:color w:val="000000"/>
              </w:rPr>
              <w:t>Contract Modifications/Reversals Tracker</w:t>
            </w:r>
          </w:p>
        </w:tc>
        <w:tc>
          <w:tcPr>
            <w:tcW w:w="3600" w:type="dxa"/>
            <w:tcMar>
              <w:top w:w="80" w:type="dxa"/>
              <w:left w:w="100" w:type="dxa"/>
              <w:bottom w:w="80" w:type="dxa"/>
              <w:right w:w="100" w:type="dxa"/>
            </w:tcMar>
          </w:tcPr>
          <w:p w14:paraId="4CBBA412" w14:textId="77777777" w:rsidR="00A7708D" w:rsidRDefault="00000000">
            <w:r>
              <w:rPr>
                <w:color w:val="000000"/>
              </w:rPr>
              <w:t>Count &amp; value of contract changes by type</w:t>
            </w:r>
          </w:p>
        </w:tc>
        <w:tc>
          <w:tcPr>
            <w:tcW w:w="2900" w:type="dxa"/>
            <w:tcMar>
              <w:top w:w="80" w:type="dxa"/>
              <w:left w:w="100" w:type="dxa"/>
              <w:bottom w:w="80" w:type="dxa"/>
              <w:right w:w="100" w:type="dxa"/>
            </w:tcMar>
          </w:tcPr>
          <w:p w14:paraId="55922998" w14:textId="77777777" w:rsidR="00A7708D" w:rsidRDefault="00000000">
            <w:r>
              <w:rPr>
                <w:color w:val="000000"/>
              </w:rPr>
              <w:t>contracts</w:t>
            </w:r>
          </w:p>
        </w:tc>
      </w:tr>
      <w:tr w:rsidR="00A7708D" w14:paraId="517E303E" w14:textId="77777777">
        <w:tblPrEx>
          <w:tblCellMar>
            <w:top w:w="0" w:type="dxa"/>
            <w:bottom w:w="0" w:type="dxa"/>
          </w:tblCellMar>
        </w:tblPrEx>
        <w:tc>
          <w:tcPr>
            <w:tcW w:w="3300" w:type="dxa"/>
            <w:tcMar>
              <w:top w:w="80" w:type="dxa"/>
              <w:left w:w="100" w:type="dxa"/>
              <w:bottom w:w="80" w:type="dxa"/>
              <w:right w:w="100" w:type="dxa"/>
            </w:tcMar>
          </w:tcPr>
          <w:p w14:paraId="70AB7695" w14:textId="77777777" w:rsidR="00A7708D" w:rsidRDefault="00000000">
            <w:r>
              <w:rPr>
                <w:color w:val="000000"/>
              </w:rPr>
              <w:t>Workday Transaction Health</w:t>
            </w:r>
          </w:p>
        </w:tc>
        <w:tc>
          <w:tcPr>
            <w:tcW w:w="3600" w:type="dxa"/>
            <w:tcMar>
              <w:top w:w="80" w:type="dxa"/>
              <w:left w:w="100" w:type="dxa"/>
              <w:bottom w:w="80" w:type="dxa"/>
              <w:right w:w="100" w:type="dxa"/>
            </w:tcMar>
          </w:tcPr>
          <w:p w14:paraId="7CF12E6E" w14:textId="77777777" w:rsidR="00A7708D" w:rsidRDefault="00000000">
            <w:r>
              <w:rPr>
                <w:color w:val="000000"/>
              </w:rPr>
              <w:t>Processed/Pending/Failed transactions by type</w:t>
            </w:r>
          </w:p>
        </w:tc>
        <w:tc>
          <w:tcPr>
            <w:tcW w:w="2900" w:type="dxa"/>
            <w:tcMar>
              <w:top w:w="80" w:type="dxa"/>
              <w:left w:w="100" w:type="dxa"/>
              <w:bottom w:w="80" w:type="dxa"/>
              <w:right w:w="100" w:type="dxa"/>
            </w:tcMar>
          </w:tcPr>
          <w:p w14:paraId="4B8F3F5A" w14:textId="77777777" w:rsidR="00A7708D" w:rsidRDefault="00000000">
            <w:r>
              <w:rPr>
                <w:color w:val="000000"/>
              </w:rPr>
              <w:t>transactions</w:t>
            </w:r>
          </w:p>
        </w:tc>
      </w:tr>
      <w:tr w:rsidR="00A7708D" w14:paraId="0941F4AA" w14:textId="77777777">
        <w:tblPrEx>
          <w:tblCellMar>
            <w:top w:w="0" w:type="dxa"/>
            <w:bottom w:w="0" w:type="dxa"/>
          </w:tblCellMar>
        </w:tblPrEx>
        <w:tc>
          <w:tcPr>
            <w:tcW w:w="3300" w:type="dxa"/>
            <w:tcMar>
              <w:top w:w="80" w:type="dxa"/>
              <w:left w:w="100" w:type="dxa"/>
              <w:bottom w:w="80" w:type="dxa"/>
              <w:right w:w="100" w:type="dxa"/>
            </w:tcMar>
          </w:tcPr>
          <w:p w14:paraId="710D9E7A" w14:textId="77777777" w:rsidR="00A7708D" w:rsidRDefault="00000000">
            <w:r>
              <w:rPr>
                <w:color w:val="000000"/>
              </w:rPr>
              <w:t>Client 360 Summary</w:t>
            </w:r>
          </w:p>
        </w:tc>
        <w:tc>
          <w:tcPr>
            <w:tcW w:w="3600" w:type="dxa"/>
            <w:tcMar>
              <w:top w:w="80" w:type="dxa"/>
              <w:left w:w="100" w:type="dxa"/>
              <w:bottom w:w="80" w:type="dxa"/>
              <w:right w:w="100" w:type="dxa"/>
            </w:tcMar>
          </w:tcPr>
          <w:p w14:paraId="32859400" w14:textId="77777777" w:rsidR="00A7708D" w:rsidRDefault="00000000">
            <w:r>
              <w:rPr>
                <w:color w:val="000000"/>
              </w:rPr>
              <w:t>Combined client-level view for relationship reviews</w:t>
            </w:r>
          </w:p>
        </w:tc>
        <w:tc>
          <w:tcPr>
            <w:tcW w:w="2900" w:type="dxa"/>
            <w:tcMar>
              <w:top w:w="80" w:type="dxa"/>
              <w:left w:w="100" w:type="dxa"/>
              <w:bottom w:w="80" w:type="dxa"/>
              <w:right w:w="100" w:type="dxa"/>
            </w:tcMar>
          </w:tcPr>
          <w:p w14:paraId="498B8A35" w14:textId="77777777" w:rsidR="00A7708D" w:rsidRDefault="00000000">
            <w:r>
              <w:rPr>
                <w:color w:val="000000"/>
              </w:rPr>
              <w:t xml:space="preserve">clients, contracts, invoices, </w:t>
            </w:r>
            <w:proofErr w:type="spellStart"/>
            <w:r>
              <w:rPr>
                <w:color w:val="000000"/>
              </w:rPr>
              <w:t>revenue_wip</w:t>
            </w:r>
            <w:proofErr w:type="spellEnd"/>
            <w:r>
              <w:rPr>
                <w:color w:val="000000"/>
              </w:rPr>
              <w:t xml:space="preserve">, </w:t>
            </w:r>
            <w:proofErr w:type="spellStart"/>
            <w:r>
              <w:rPr>
                <w:color w:val="000000"/>
              </w:rPr>
              <w:t>audit_log</w:t>
            </w:r>
            <w:proofErr w:type="spellEnd"/>
          </w:p>
        </w:tc>
      </w:tr>
    </w:tbl>
    <w:p w14:paraId="4253D654" w14:textId="77777777" w:rsidR="00A7708D" w:rsidRDefault="00000000">
      <w:pPr>
        <w:pStyle w:val="Heading1"/>
        <w:spacing w:before="300" w:after="150"/>
      </w:pPr>
      <w:r>
        <w:t>5. Power BI Dashboard</w:t>
      </w:r>
    </w:p>
    <w:p w14:paraId="255233AD" w14:textId="77777777" w:rsidR="00A7708D" w:rsidRDefault="00000000">
      <w:pPr>
        <w:spacing w:after="120"/>
      </w:pPr>
      <w:r>
        <w:t>Full build steps, relationships, and DAX measures are in the companion file PowerBI_Build_Guide.md. The dashboard is organized into six pages:</w:t>
      </w:r>
    </w:p>
    <w:p w14:paraId="5D95418C" w14:textId="5D01040C" w:rsidR="00A7708D" w:rsidRDefault="00000000">
      <w:pPr>
        <w:pStyle w:val="ListParagraph"/>
        <w:numPr>
          <w:ilvl w:val="0"/>
          <w:numId w:val="1"/>
        </w:numPr>
        <w:spacing w:after="60"/>
      </w:pPr>
      <w:r>
        <w:t xml:space="preserve">Executive Summary </w:t>
      </w:r>
      <w:r w:rsidR="002E60AA">
        <w:t>-</w:t>
      </w:r>
      <w:r>
        <w:t xml:space="preserve"> total invoiced, collected, outstanding, recognition rate, SOX compliance %, and audit flags as headline KPI cards, with a monthly trend line.</w:t>
      </w:r>
    </w:p>
    <w:p w14:paraId="42007F8F" w14:textId="5EB3BDB9" w:rsidR="00A7708D" w:rsidRDefault="00000000">
      <w:pPr>
        <w:pStyle w:val="ListParagraph"/>
        <w:numPr>
          <w:ilvl w:val="0"/>
          <w:numId w:val="1"/>
        </w:numPr>
        <w:spacing w:after="60"/>
      </w:pPr>
      <w:r>
        <w:t xml:space="preserve">Invoicing &amp; Collections </w:t>
      </w:r>
      <w:r w:rsidR="002E60AA">
        <w:t>-</w:t>
      </w:r>
      <w:r>
        <w:t xml:space="preserve"> invoice status mix, aging buckets, DSO by client, drill-through to invoice-level detail.</w:t>
      </w:r>
    </w:p>
    <w:p w14:paraId="282A79C7" w14:textId="10ECF706" w:rsidR="00A7708D" w:rsidRDefault="00000000">
      <w:pPr>
        <w:pStyle w:val="ListParagraph"/>
        <w:numPr>
          <w:ilvl w:val="0"/>
          <w:numId w:val="1"/>
        </w:numPr>
        <w:spacing w:after="60"/>
      </w:pPr>
      <w:r>
        <w:lastRenderedPageBreak/>
        <w:t xml:space="preserve">Revenue Recognition &amp; WIP </w:t>
      </w:r>
      <w:r w:rsidR="002E60AA">
        <w:t>-</w:t>
      </w:r>
      <w:r>
        <w:t xml:space="preserve"> billed vs. recognized vs. WIP by month, WIP aging by contract, SOX compliance trend.</w:t>
      </w:r>
    </w:p>
    <w:p w14:paraId="008E7F32" w14:textId="7A57D5A3" w:rsidR="00A7708D" w:rsidRDefault="00000000">
      <w:pPr>
        <w:pStyle w:val="ListParagraph"/>
        <w:numPr>
          <w:ilvl w:val="0"/>
          <w:numId w:val="1"/>
        </w:numPr>
        <w:spacing w:after="60"/>
      </w:pPr>
      <w:r>
        <w:t xml:space="preserve">Contract Modifications &amp; Workday </w:t>
      </w:r>
      <w:r w:rsidR="002E60AA">
        <w:t>-</w:t>
      </w:r>
      <w:r>
        <w:t xml:space="preserve"> modification type/status matrix, transaction volume by Workday processing status.</w:t>
      </w:r>
    </w:p>
    <w:p w14:paraId="75B2419B" w14:textId="58E9A74E" w:rsidR="00A7708D" w:rsidRDefault="00000000">
      <w:pPr>
        <w:pStyle w:val="ListParagraph"/>
        <w:numPr>
          <w:ilvl w:val="0"/>
          <w:numId w:val="1"/>
        </w:numPr>
        <w:spacing w:after="60"/>
      </w:pPr>
      <w:r>
        <w:t xml:space="preserve">Audit &amp; Risk </w:t>
      </w:r>
      <w:r w:rsidR="002E60AA">
        <w:t>-</w:t>
      </w:r>
      <w:r>
        <w:t xml:space="preserve"> findings by type and resolution status, an at-risk client list combining overdue balances, open findings, and aging WIP.</w:t>
      </w:r>
    </w:p>
    <w:p w14:paraId="528BCA19" w14:textId="02B9D42F" w:rsidR="00A7708D" w:rsidRDefault="00000000">
      <w:pPr>
        <w:pStyle w:val="ListParagraph"/>
        <w:numPr>
          <w:ilvl w:val="0"/>
          <w:numId w:val="1"/>
        </w:numPr>
        <w:spacing w:after="60"/>
      </w:pPr>
      <w:r>
        <w:t xml:space="preserve">Client 360 </w:t>
      </w:r>
      <w:r w:rsidR="002E60AA">
        <w:t>-</w:t>
      </w:r>
      <w:r>
        <w:t xml:space="preserve"> a single-client view built for relationship reviews, combining contracts, invoices, WIP, and audit history.</w:t>
      </w:r>
    </w:p>
    <w:p w14:paraId="57D510F3" w14:textId="77777777" w:rsidR="00A7708D" w:rsidRDefault="00000000">
      <w:pPr>
        <w:pStyle w:val="Heading1"/>
        <w:spacing w:before="300" w:after="150"/>
      </w:pPr>
      <w:r>
        <w:t>6. Findings</w:t>
      </w:r>
    </w:p>
    <w:p w14:paraId="23F81B63" w14:textId="77777777" w:rsidR="00A7708D" w:rsidRDefault="00000000">
      <w:pPr>
        <w:spacing w:after="120"/>
      </w:pPr>
      <w:r>
        <w:t>Running the analysis layer against the sample dataset surfaces the kind of issues a CA Operations desk would act on immediately:</w:t>
      </w:r>
    </w:p>
    <w:p w14:paraId="003F6808" w14:textId="611E4AB2" w:rsidR="00A7708D" w:rsidRDefault="00000000">
      <w:pPr>
        <w:pStyle w:val="ListParagraph"/>
        <w:numPr>
          <w:ilvl w:val="0"/>
          <w:numId w:val="1"/>
        </w:numPr>
        <w:spacing w:after="60"/>
      </w:pPr>
      <w:r>
        <w:t xml:space="preserve">Of $20.87M invoiced, only $6.19M (29.7%) has been collected, leaving $14.68M in outstanding receivables </w:t>
      </w:r>
      <w:r w:rsidR="002E60AA">
        <w:t>-</w:t>
      </w:r>
      <w:r>
        <w:t xml:space="preserve"> invoice status is split almost evenly across Outstanding, Overdue, and Disputed, which points to a collections and dispute-resolution bottleneck rather than a billing-volume problem.</w:t>
      </w:r>
    </w:p>
    <w:p w14:paraId="1B869DD3" w14:textId="2E2AFC19" w:rsidR="00A7708D" w:rsidRDefault="00000000">
      <w:pPr>
        <w:pStyle w:val="ListParagraph"/>
        <w:numPr>
          <w:ilvl w:val="0"/>
          <w:numId w:val="1"/>
        </w:numPr>
        <w:spacing w:after="60"/>
      </w:pPr>
      <w:r>
        <w:t xml:space="preserve">SOX compliance sits at 92.2% (1,173 of 1,272 monthly revenue records) </w:t>
      </w:r>
      <w:r w:rsidR="002E60AA">
        <w:t>-</w:t>
      </w:r>
      <w:r>
        <w:t xml:space="preserve"> solid, but the remaining 7.8% represents non-compliant revenue recognition that would need remediation before period close.</w:t>
      </w:r>
    </w:p>
    <w:p w14:paraId="166173DC" w14:textId="671D3D32" w:rsidR="00A7708D" w:rsidRDefault="00000000">
      <w:pPr>
        <w:pStyle w:val="ListParagraph"/>
        <w:numPr>
          <w:ilvl w:val="0"/>
          <w:numId w:val="1"/>
        </w:numPr>
        <w:spacing w:after="60"/>
      </w:pPr>
      <w:r>
        <w:t xml:space="preserve">$827K sits in Work-in-Progress across active contracts </w:t>
      </w:r>
      <w:r w:rsidR="002E60AA">
        <w:t>-</w:t>
      </w:r>
      <w:r>
        <w:t xml:space="preserve"> this is billable/recognizable value not yet converted to revenue, and is the first place to look when investigating revenue leakage.</w:t>
      </w:r>
    </w:p>
    <w:p w14:paraId="33A6765F" w14:textId="0A475DF2" w:rsidR="00A7708D" w:rsidRDefault="00000000">
      <w:pPr>
        <w:pStyle w:val="ListParagraph"/>
        <w:numPr>
          <w:ilvl w:val="0"/>
          <w:numId w:val="1"/>
        </w:numPr>
        <w:spacing w:after="60"/>
      </w:pPr>
      <w:r>
        <w:t xml:space="preserve">57.5% of contracts (61 of 106) have at least one modification on record </w:t>
      </w:r>
      <w:r w:rsidR="002E60AA">
        <w:t>-</w:t>
      </w:r>
      <w:r>
        <w:t xml:space="preserve"> a materially high rate that justifies a dedicated modification/reversal tracker rather than handling changes ad hoc.</w:t>
      </w:r>
    </w:p>
    <w:p w14:paraId="1417DDE0" w14:textId="668DFEFF" w:rsidR="00A7708D" w:rsidRDefault="00000000">
      <w:pPr>
        <w:pStyle w:val="ListParagraph"/>
        <w:numPr>
          <w:ilvl w:val="0"/>
          <w:numId w:val="1"/>
        </w:numPr>
        <w:spacing w:after="60"/>
      </w:pPr>
      <w:r>
        <w:t xml:space="preserve">35.9% of Workday transactions show a Failed status </w:t>
      </w:r>
      <w:r w:rsidR="002E60AA">
        <w:t>-</w:t>
      </w:r>
      <w:r>
        <w:t xml:space="preserve"> an operational red flag; at this rate, failed postings are very likely contributing directly to the outstanding-invoice and WIP backlog above.</w:t>
      </w:r>
    </w:p>
    <w:p w14:paraId="72A7992A" w14:textId="701C34D0" w:rsidR="00A7708D" w:rsidRDefault="00000000">
      <w:pPr>
        <w:pStyle w:val="ListParagraph"/>
        <w:numPr>
          <w:ilvl w:val="0"/>
          <w:numId w:val="1"/>
        </w:numPr>
        <w:spacing w:after="60"/>
      </w:pPr>
      <w:r>
        <w:t xml:space="preserve">Audit findings skew toward unresolved: of 25 findings logged, only 7 are Resolved, with 11 In Progress and 7 Escalated </w:t>
      </w:r>
      <w:r w:rsidR="002E60AA">
        <w:t>-</w:t>
      </w:r>
      <w:r>
        <w:t xml:space="preserve"> resolution velocity is an area to monitor, not just the volume of findings raised.</w:t>
      </w:r>
    </w:p>
    <w:p w14:paraId="22ABC257" w14:textId="77777777" w:rsidR="00A7708D" w:rsidRDefault="00000000">
      <w:pPr>
        <w:pStyle w:val="Heading1"/>
        <w:spacing w:before="300" w:after="150"/>
      </w:pPr>
      <w:r>
        <w:t>7. Recommendations</w:t>
      </w:r>
    </w:p>
    <w:p w14:paraId="324B549B" w14:textId="2BD332F4" w:rsidR="00A7708D" w:rsidRDefault="00000000">
      <w:pPr>
        <w:pStyle w:val="ListParagraph"/>
        <w:numPr>
          <w:ilvl w:val="0"/>
          <w:numId w:val="1"/>
        </w:numPr>
        <w:spacing w:after="60"/>
      </w:pPr>
      <w:r>
        <w:t xml:space="preserve">Investigate the Workday failed-transaction rate first </w:t>
      </w:r>
      <w:r w:rsidR="002E60AA">
        <w:t>-</w:t>
      </w:r>
      <w:r>
        <w:t xml:space="preserve"> at 36%, fixing the root cause (mapping errors, missing evidence, timing issues) likely reduces WIP and overdue balances simultaneously.</w:t>
      </w:r>
    </w:p>
    <w:p w14:paraId="0EF97F5A" w14:textId="77777777" w:rsidR="00A7708D" w:rsidRDefault="00000000">
      <w:pPr>
        <w:pStyle w:val="ListParagraph"/>
        <w:numPr>
          <w:ilvl w:val="0"/>
          <w:numId w:val="1"/>
        </w:numPr>
        <w:spacing w:after="60"/>
      </w:pPr>
      <w:r>
        <w:t>Set a WIP aging threshold (e.g., &gt;60 days) that auto-flags contracts for revenue-recognition review before month-end close.</w:t>
      </w:r>
    </w:p>
    <w:p w14:paraId="14974649" w14:textId="726BBCCC" w:rsidR="00A7708D" w:rsidRDefault="00000000">
      <w:pPr>
        <w:pStyle w:val="ListParagraph"/>
        <w:numPr>
          <w:ilvl w:val="0"/>
          <w:numId w:val="1"/>
        </w:numPr>
        <w:spacing w:after="60"/>
      </w:pPr>
      <w:r>
        <w:t xml:space="preserve">Route the 7 escalated audit findings to a weekly stand-up until resolution status changes </w:t>
      </w:r>
      <w:r w:rsidR="002E60AA">
        <w:t>-</w:t>
      </w:r>
      <w:r>
        <w:t xml:space="preserve"> escalated findings sitting open the longest carry the highest control risk.</w:t>
      </w:r>
    </w:p>
    <w:p w14:paraId="0A7026E7" w14:textId="11E803AF" w:rsidR="00A7708D" w:rsidRDefault="00000000">
      <w:pPr>
        <w:pStyle w:val="ListParagraph"/>
        <w:numPr>
          <w:ilvl w:val="0"/>
          <w:numId w:val="1"/>
        </w:numPr>
        <w:spacing w:after="60"/>
      </w:pPr>
      <w:r>
        <w:t xml:space="preserve">Use the Contract Modification Tracker to check whether high-modification clients also show higher DSO or audit flags </w:t>
      </w:r>
      <w:r w:rsidR="002E60AA">
        <w:t>-</w:t>
      </w:r>
      <w:r>
        <w:t xml:space="preserve"> if so, contract volatility is a leading indicator worth monitoring proactively rather than reactively.</w:t>
      </w:r>
    </w:p>
    <w:p w14:paraId="0B91313B" w14:textId="77777777" w:rsidR="00A7708D" w:rsidRDefault="00000000">
      <w:pPr>
        <w:pStyle w:val="Heading1"/>
        <w:spacing w:before="300" w:after="150"/>
      </w:pPr>
      <w:r>
        <w:t>8. How to Reproduce This Build</w:t>
      </w:r>
    </w:p>
    <w:p w14:paraId="5C1A5895" w14:textId="77777777" w:rsidR="00A7708D" w:rsidRDefault="00000000">
      <w:pPr>
        <w:pStyle w:val="ListParagraph"/>
        <w:numPr>
          <w:ilvl w:val="0"/>
          <w:numId w:val="1"/>
        </w:numPr>
        <w:spacing w:after="60"/>
      </w:pPr>
      <w:r>
        <w:t>1. Load the six CSVs in /data (or regenerate them with generate_data.sh).</w:t>
      </w:r>
    </w:p>
    <w:p w14:paraId="79C53626" w14:textId="77777777" w:rsidR="00A7708D" w:rsidRDefault="00000000">
      <w:pPr>
        <w:pStyle w:val="ListParagraph"/>
        <w:numPr>
          <w:ilvl w:val="0"/>
          <w:numId w:val="1"/>
        </w:numPr>
        <w:spacing w:after="60"/>
      </w:pPr>
      <w:r>
        <w:t>2. Run 01_schema.sql, then 02_load_data.sql, in SQL Server / MySQL / PostgreSQL.</w:t>
      </w:r>
    </w:p>
    <w:p w14:paraId="1DBB50D5" w14:textId="77777777" w:rsidR="00A7708D" w:rsidRDefault="00000000">
      <w:pPr>
        <w:pStyle w:val="ListParagraph"/>
        <w:numPr>
          <w:ilvl w:val="0"/>
          <w:numId w:val="1"/>
        </w:numPr>
        <w:spacing w:after="60"/>
      </w:pPr>
      <w:r>
        <w:t>3. Run 03_analysis_queries.sql to validate the KPI logic, or import the CSVs directly into Power BI.</w:t>
      </w:r>
    </w:p>
    <w:p w14:paraId="3618CD20" w14:textId="77777777" w:rsidR="00A7708D" w:rsidRDefault="00000000">
      <w:pPr>
        <w:pStyle w:val="ListParagraph"/>
        <w:numPr>
          <w:ilvl w:val="0"/>
          <w:numId w:val="1"/>
        </w:numPr>
        <w:spacing w:after="60"/>
      </w:pPr>
      <w:r>
        <w:t>4. Follow PowerBI_Build_Guide.md to build the data model, DAX measures, and six dashboard pages.</w:t>
      </w:r>
    </w:p>
    <w:p w14:paraId="708224FB" w14:textId="77777777" w:rsidR="00A7708D" w:rsidRDefault="00000000">
      <w:pPr>
        <w:pStyle w:val="ListParagraph"/>
        <w:numPr>
          <w:ilvl w:val="0"/>
          <w:numId w:val="1"/>
        </w:numPr>
        <w:spacing w:after="60"/>
      </w:pPr>
      <w:r>
        <w:t>5. Publish to Power BI Service and schedule a refresh if connecting to a live source.</w:t>
      </w:r>
    </w:p>
    <w:p w14:paraId="55A8598F" w14:textId="77777777" w:rsidR="002E60AA" w:rsidRDefault="002E60AA">
      <w:pPr>
        <w:pStyle w:val="Heading1"/>
        <w:spacing w:before="300" w:after="150"/>
      </w:pPr>
    </w:p>
    <w:p w14:paraId="4BD1A1A7" w14:textId="0CE20361" w:rsidR="00A7708D" w:rsidRDefault="00000000">
      <w:pPr>
        <w:pStyle w:val="Heading1"/>
        <w:spacing w:before="300" w:after="150"/>
      </w:pPr>
      <w:r>
        <w:lastRenderedPageBreak/>
        <w:t>9. Conclusion</w:t>
      </w:r>
    </w:p>
    <w:p w14:paraId="44334FDF" w14:textId="47D0E708" w:rsidR="00A7708D" w:rsidRDefault="00000000">
      <w:pPr>
        <w:spacing w:after="120"/>
      </w:pPr>
      <w:proofErr w:type="spellStart"/>
      <w:r>
        <w:t>ClearWIP</w:t>
      </w:r>
      <w:proofErr w:type="spellEnd"/>
      <w:r>
        <w:t xml:space="preserve"> demonstrates a complete O2C reporting pipeline </w:t>
      </w:r>
      <w:r w:rsidR="002E60AA">
        <w:t>-</w:t>
      </w:r>
      <w:r>
        <w:t xml:space="preserve"> from raw contract, billing, and ERP-transaction data through SQL analysis to a decision-ready Power BI dashboard </w:t>
      </w:r>
      <w:r w:rsidR="002E60AA">
        <w:t>-</w:t>
      </w:r>
      <w:r>
        <w:t xml:space="preserve"> covering the core levers a Contract Accounting Operations team manages day to day: invoicing accuracy, collections, SOX-compliant revenue recognition, WIP exposure, contract change control, and audit resolution.</w:t>
      </w:r>
    </w:p>
    <w:sectPr w:rsidR="00A770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73E8F"/>
    <w:multiLevelType w:val="hybridMultilevel"/>
    <w:tmpl w:val="28024750"/>
    <w:lvl w:ilvl="0" w:tplc="1E4E10BC">
      <w:start w:val="1"/>
      <w:numFmt w:val="bullet"/>
      <w:lvlText w:val="●"/>
      <w:lvlJc w:val="left"/>
      <w:pPr>
        <w:ind w:left="720" w:hanging="360"/>
      </w:pPr>
    </w:lvl>
    <w:lvl w:ilvl="1" w:tplc="7E32AAB8">
      <w:start w:val="1"/>
      <w:numFmt w:val="bullet"/>
      <w:lvlText w:val="○"/>
      <w:lvlJc w:val="left"/>
      <w:pPr>
        <w:ind w:left="1440" w:hanging="360"/>
      </w:pPr>
    </w:lvl>
    <w:lvl w:ilvl="2" w:tplc="F796EBC6">
      <w:start w:val="1"/>
      <w:numFmt w:val="bullet"/>
      <w:lvlText w:val="■"/>
      <w:lvlJc w:val="left"/>
      <w:pPr>
        <w:ind w:left="2160" w:hanging="360"/>
      </w:pPr>
    </w:lvl>
    <w:lvl w:ilvl="3" w:tplc="A3E04062">
      <w:start w:val="1"/>
      <w:numFmt w:val="bullet"/>
      <w:lvlText w:val="●"/>
      <w:lvlJc w:val="left"/>
      <w:pPr>
        <w:ind w:left="2880" w:hanging="360"/>
      </w:pPr>
    </w:lvl>
    <w:lvl w:ilvl="4" w:tplc="65F86B00">
      <w:start w:val="1"/>
      <w:numFmt w:val="bullet"/>
      <w:lvlText w:val="○"/>
      <w:lvlJc w:val="left"/>
      <w:pPr>
        <w:ind w:left="3600" w:hanging="360"/>
      </w:pPr>
    </w:lvl>
    <w:lvl w:ilvl="5" w:tplc="4948A1DC">
      <w:start w:val="1"/>
      <w:numFmt w:val="bullet"/>
      <w:lvlText w:val="■"/>
      <w:lvlJc w:val="left"/>
      <w:pPr>
        <w:ind w:left="4320" w:hanging="360"/>
      </w:pPr>
    </w:lvl>
    <w:lvl w:ilvl="6" w:tplc="F1BAFB28">
      <w:start w:val="1"/>
      <w:numFmt w:val="bullet"/>
      <w:lvlText w:val="●"/>
      <w:lvlJc w:val="left"/>
      <w:pPr>
        <w:ind w:left="5040" w:hanging="360"/>
      </w:pPr>
    </w:lvl>
    <w:lvl w:ilvl="7" w:tplc="AF8E5FE0">
      <w:start w:val="1"/>
      <w:numFmt w:val="bullet"/>
      <w:lvlText w:val="●"/>
      <w:lvlJc w:val="left"/>
      <w:pPr>
        <w:ind w:left="5760" w:hanging="360"/>
      </w:pPr>
    </w:lvl>
    <w:lvl w:ilvl="8" w:tplc="8C6469D6">
      <w:start w:val="1"/>
      <w:numFmt w:val="bullet"/>
      <w:lvlText w:val="●"/>
      <w:lvlJc w:val="left"/>
      <w:pPr>
        <w:ind w:left="6480" w:hanging="360"/>
      </w:pPr>
    </w:lvl>
  </w:abstractNum>
  <w:num w:numId="1" w16cid:durableId="381757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08D"/>
    <w:rsid w:val="002E60AA"/>
    <w:rsid w:val="0060025A"/>
    <w:rsid w:val="00A7708D"/>
    <w:rsid w:val="00D51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B68B"/>
  <w15:docId w15:val="{73399DCB-69AD-4E4D-90A6-5C6C5F99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Pratap Singh Lodhi</cp:lastModifiedBy>
  <cp:revision>3</cp:revision>
  <dcterms:created xsi:type="dcterms:W3CDTF">2026-07-15T08:27:00Z</dcterms:created>
  <dcterms:modified xsi:type="dcterms:W3CDTF">2026-07-15T08:38:00Z</dcterms:modified>
</cp:coreProperties>
</file>