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Century Gothic" w:hAnsi="Century Gothic"/>
          <w:b/>
          <w:color w:val="0F172A"/>
          <w:sz w:val="88"/>
        </w:rPr>
        <w:t>RAASTASENSE V2</w:t>
      </w:r>
    </w:p>
    <w:p>
      <w:pPr>
        <w:spacing w:after="800"/>
        <w:jc w:val="center"/>
      </w:pPr>
      <w:r>
        <w:rPr>
          <w:rFonts w:ascii="Century Gothic" w:hAnsi="Century Gothic"/>
          <w:b/>
          <w:color w:val="38BDF8"/>
          <w:sz w:val="32"/>
        </w:rPr>
        <w:t>Transforming Road Safety Through Real-Time Intelligence</w:t>
      </w:r>
    </w:p>
    <w:p/>
    <w:p/>
    <w:p/>
    <w:p/>
    <w:p>
      <w:pPr>
        <w:jc w:val="center"/>
      </w:pPr>
      <w:r>
        <w:rPr>
          <w:rFonts w:ascii="Calibri" w:hAnsi="Calibri"/>
          <w:b/>
          <w:color w:val="475569"/>
          <w:sz w:val="24"/>
        </w:rPr>
        <w:t>IIT Madras Road Safety Hackathon 2026</w:t>
        <w:br/>
        <w:t>Team: NXT-waVE</w:t>
        <w:br/>
        <w:t>Members: AJAY RATHOD &amp; ANIMESH BHANARKAR</w:t>
        <w:br/>
        <w:t>Live Deployment: https://raastasense.vercel.app</w:t>
        <w:br/>
        <w:t>Repository: https://github.com/Ajayrathod04/RaastaSense</w:t>
        <w:br/>
      </w:r>
    </w:p>
    <w:p>
      <w:r>
        <w:br w:type="page"/>
      </w:r>
    </w:p>
    <w:p>
      <w:pPr>
        <w:spacing w:before="360" w:after="200"/>
      </w:pPr>
      <w:r>
        <w:rPr>
          <w:rFonts w:ascii="Century Gothic" w:hAnsi="Century Gothic"/>
          <w:b/>
          <w:color w:val="0F172A"/>
          <w:sz w:val="40"/>
        </w:rPr>
        <w:t>1. Executive Summary</w:t>
      </w:r>
    </w:p>
    <w:p>
      <w:r>
        <w:t>RaastaSense V2 represents a high-fidelity paradigm shift in modern road safety management. Designed specifically for the IIT Madras Road Safety Challenge, this ecosystem integrates reactive public governance trackers, predictive GIS safe route navigation, and direct satellite GPS responder coordination. Over half of road fatalities in developing nations occur during the critical 'Golden Hour' due to dispatcher routing delays and public blind spots. RaastaSense V2 addresses these challenges by transforming community vigilance into a highly transparent, actionable dashboard. With full 9-language i18n support, state-specific fine surcharges filter nodes, automated AI incident pixel categorization models, and deep coordinate locks, the platform bridges the gap between citizens, municipal agencies, and medical emergency teams.</w:t>
      </w:r>
    </w:p>
    <w:p>
      <w:r>
        <w:br w:type="page"/>
      </w:r>
    </w:p>
    <w:p>
      <w:pPr>
        <w:spacing w:before="360" w:after="200"/>
      </w:pPr>
      <w:r>
        <w:rPr>
          <w:rFonts w:ascii="Century Gothic" w:hAnsi="Century Gothic"/>
          <w:b/>
          <w:color w:val="0F172A"/>
          <w:sz w:val="40"/>
        </w:rPr>
        <w:t>2. Problem Statement</w:t>
      </w:r>
    </w:p>
    <w:p>
      <w:r>
        <w:t>Indian transit corridors are suffering from severe structural inefficiencies, contributing to significant loss of life and financial strain. Critical pain points include:</w:t>
      </w:r>
    </w:p>
    <w:p>
      <w:r>
        <w:t>• High Annual Fatalities: Indian corridors suffer from more than 1.5 Lakhs fatalities annually, averaging 400 lives lost every single day.</w:t>
      </w:r>
    </w:p>
    <w:p>
      <w:r>
        <w:t>• Massive Economic Loss: Road traffic accidents drain approximately ₹5.8 Lakh Crores annually, capturing almost 3% of national GDP.</w:t>
      </w:r>
    </w:p>
    <w:p>
      <w:r>
        <w:t>• Golden Hour Responding: Dispatchers struggle with delayed responses because of poor location telemetry, routing bottlenecks, and a lack of real-time coordinate locks.</w:t>
      </w:r>
    </w:p>
    <w:p>
      <w:r>
        <w:t>• Infrastructure Transparency: Hazard spots like severe potholes remain unlogged and unresolved due to a lack of public audit trails or visual pothole classification pipelines.</w:t>
      </w:r>
    </w:p>
    <w:p>
      <w:r>
        <w:t>• Dynamic Surcharges: Legal violations indexes remain static, failing to adapt to dynamic municipal surcharge changes (such as the distinct fines between Tamil Nadu, Maharashtra, or Karnataka).</w:t>
      </w:r>
    </w:p>
    <w:p>
      <w:r>
        <w:br w:type="page"/>
      </w:r>
    </w:p>
    <w:p>
      <w:pPr>
        <w:spacing w:before="360" w:after="200"/>
      </w:pPr>
      <w:r>
        <w:rPr>
          <w:rFonts w:ascii="Century Gothic" w:hAnsi="Century Gothic"/>
          <w:b/>
          <w:color w:val="0F172A"/>
          <w:sz w:val="40"/>
        </w:rPr>
        <w:t>3. Proposed Solution</w:t>
      </w:r>
    </w:p>
    <w:p>
      <w:r>
        <w:t>RaastaSense V2 introduces an interactive, fail-safe AI Road Safety Ecosystem. Key features include:</w:t>
      </w:r>
    </w:p>
    <w:p>
      <w:r>
        <w:t>1. Cyberslate Live GIS HUD: Direct interactive Leaflet mapping displaying real-time speedometers, traffic-fluctuation tile layers, coordinate markers, and live telemetry simulators.</w:t>
      </w:r>
    </w:p>
    <w:p>
      <w:r>
        <w:t>2. DriveLegal Indexer: Dynamically filters 6 core legal safety codes (overspeeding, mobile usage, helmets) with state-specific surcharge modifiers and voice synthesizers.</w:t>
      </w:r>
    </w:p>
    <w:p>
      <w:r>
        <w:t>3. RoadWatch AI Audits: Transparent complaint logs paired with an automatic AI incident diagnostics console. Mock images submitted receive an immediate, multi-tier pixel scan (Severity Index, Risk Category, and Suggested Action Protocols).</w:t>
      </w:r>
    </w:p>
    <w:p>
      <w:r>
        <w:t>4. RoadSOS Emergency Beacons: Sat-locked coordinates, trauma center proximity indexing, direct dial numbers, and a customized full-screen Emergency SOS alarm override panel that routes emergency dispatchers instantly.</w:t>
      </w:r>
    </w:p>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raastasense_hero_ui.png"/>
                    <pic:cNvPicPr/>
                  </pic:nvPicPr>
                  <pic:blipFill>
                    <a:blip r:embed="rId9"/>
                    <a:stretch>
                      <a:fillRect/>
                    </a:stretch>
                  </pic:blipFill>
                  <pic:spPr>
                    <a:xfrm>
                      <a:off x="0" y="0"/>
                      <a:ext cx="5486400" cy="5486400"/>
                    </a:xfrm>
                    <a:prstGeom prst="rect"/>
                  </pic:spPr>
                </pic:pic>
              </a:graphicData>
            </a:graphic>
          </wp:inline>
        </w:drawing>
      </w:r>
    </w:p>
    <w:p>
      <w:pPr>
        <w:jc w:val="center"/>
      </w:pPr>
      <w:r>
        <w:rPr>
          <w:i/>
          <w:color w:val="475569"/>
          <w:sz w:val="19"/>
        </w:rPr>
        <w:t>Figure 1: RaastaSense V2 Glassmorphic Cyber Intelligence Dashboard</w:t>
      </w:r>
    </w:p>
    <w:p>
      <w:r>
        <w:br w:type="page"/>
      </w:r>
    </w:p>
    <w:p>
      <w:pPr>
        <w:spacing w:before="360" w:after="200"/>
      </w:pPr>
      <w:r>
        <w:rPr>
          <w:rFonts w:ascii="Century Gothic" w:hAnsi="Century Gothic"/>
          <w:b/>
          <w:color w:val="0F172A"/>
          <w:sz w:val="40"/>
        </w:rPr>
        <w:t>4. System Architecture</w:t>
      </w:r>
    </w:p>
    <w:p>
      <w:r>
        <w:t>The RaastaSense platform utilizes a highly scalable, decoupled client-server architecture. The components include:</w:t>
      </w:r>
    </w:p>
    <w:p>
      <w:r>
        <w:t>• Client Tier: React 18, Vite, Framer Motion, custom vector SVGs, and Tailwind CSS.</w:t>
      </w:r>
    </w:p>
    <w:p>
      <w:r>
        <w:t>• Map Layer: OpenStreetMap integrations, polyline coordinates generator, and dynamic marker overlays.</w:t>
      </w:r>
    </w:p>
    <w:p>
      <w:r>
        <w:t>• Backend &amp; API: Express server, telemetry polling, and NoSQL Firestore mock logs.</w:t>
      </w:r>
    </w:p>
    <w:p>
      <w:r>
        <w:t>• AI Diagnostics: Pothole pixel classification model using Google Generative AI (Gemini) fallback channels.</w:t>
      </w:r>
    </w:p>
    <w:p>
      <w:r>
        <w:br w:type="page"/>
      </w:r>
    </w:p>
    <w:p>
      <w:pPr>
        <w:spacing w:before="360" w:after="200"/>
      </w:pPr>
      <w:r>
        <w:rPr>
          <w:rFonts w:ascii="Century Gothic" w:hAnsi="Century Gothic"/>
          <w:b/>
          <w:color w:val="0F172A"/>
          <w:sz w:val="40"/>
        </w:rPr>
        <w:t>5. Core Engine Modules</w:t>
      </w:r>
    </w:p>
    <w:p>
      <w:pPr>
        <w:spacing w:before="240" w:after="120"/>
      </w:pPr>
      <w:r>
        <w:rPr>
          <w:rFonts w:ascii="Century Gothic" w:hAnsi="Century Gothic"/>
          <w:b/>
          <w:color w:val="475569"/>
          <w:sz w:val="28"/>
        </w:rPr>
        <w:t>5.1 Safe Route Engine (Phase 8 Highlight)</w:t>
      </w:r>
    </w:p>
    <w:p>
      <w:r>
        <w:t>The dynamic navigation module generates three distinct routing corridors (Fastest, Safest, and Least Incident path). It visualizes safety percentages, traffic congestion indexes, accident probability ratios, and rain/weather impact states, applying distinct highlights to emphasize the absolute safest route for two-wheeler or four-wheeler safety.</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raastasense_route_engine.png"/>
                    <pic:cNvPicPr/>
                  </pic:nvPicPr>
                  <pic:blipFill>
                    <a:blip r:embed="rId10"/>
                    <a:stretch>
                      <a:fillRect/>
                    </a:stretch>
                  </pic:blipFill>
                  <pic:spPr>
                    <a:xfrm>
                      <a:off x="0" y="0"/>
                      <a:ext cx="5486400" cy="5486400"/>
                    </a:xfrm>
                    <a:prstGeom prst="rect"/>
                  </pic:spPr>
                </pic:pic>
              </a:graphicData>
            </a:graphic>
          </wp:inline>
        </w:drawing>
      </w:r>
    </w:p>
    <w:p>
      <w:pPr>
        <w:jc w:val="center"/>
      </w:pPr>
      <w:r>
        <w:rPr>
          <w:i/>
          <w:color w:val="475569"/>
          <w:sz w:val="19"/>
        </w:rPr>
        <w:t>Figure 2: Safe Route Corridor Navigation HUD &amp; Deep Safety Metrics</w:t>
      </w:r>
    </w:p>
    <w:p>
      <w:pPr>
        <w:spacing w:before="240" w:after="120"/>
      </w:pPr>
      <w:r>
        <w:rPr>
          <w:rFonts w:ascii="Century Gothic" w:hAnsi="Century Gothic"/>
          <w:b/>
          <w:color w:val="475569"/>
          <w:sz w:val="28"/>
        </w:rPr>
        <w:t>5.2 DriveLegal Index</w:t>
      </w:r>
    </w:p>
    <w:p>
      <w:r>
        <w:t>Fosters citizen awareness by displaying detailed explanations of violations. Standard fines scale dynamically based on selected Indian state rules (e.g. 20% fine surcharge in Tamil Nadu, 30% in Maharashtra) to simulate local transport department parameters.</w:t>
      </w:r>
    </w:p>
    <w:p>
      <w:pPr>
        <w:spacing w:before="240" w:after="120"/>
      </w:pPr>
      <w:r>
        <w:rPr>
          <w:rFonts w:ascii="Century Gothic" w:hAnsi="Century Gothic"/>
          <w:b/>
          <w:color w:val="475569"/>
          <w:sz w:val="28"/>
        </w:rPr>
        <w:t>5.3 RoadWatch Incident Diagnostics</w:t>
      </w:r>
    </w:p>
    <w:p>
      <w:r>
        <w:t>Allows citizens to upload image reports. An automated, simulated AI pixel diagnostics console executes a multi-layer evaluation indexing severity out of 10, confidence rates, hazard categorization, and direct action guidelines (e.g. Immediate Asphalt Patching).</w:t>
      </w:r>
    </w:p>
    <w:p>
      <w:pPr>
        <w:spacing w:before="240" w:after="120"/>
      </w:pPr>
      <w:r>
        <w:rPr>
          <w:rFonts w:ascii="Century Gothic" w:hAnsi="Century Gothic"/>
          <w:b/>
          <w:color w:val="475569"/>
          <w:sz w:val="28"/>
        </w:rPr>
        <w:t>5.4 RoadSOS Emergency Controller</w:t>
      </w:r>
    </w:p>
    <w:p>
      <w:r>
        <w:t>Emergency coordinate resolve logs direct sat-locks. Shows responder proximities (Hospitals &amp; Police centers) with one-click dial anchors, and triggers a beautiful full-screen overlay panel showing evacuation escape routes and immediate dispatcher twilio broadcasts.</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raastasense_observability_settings.png"/>
                    <pic:cNvPicPr/>
                  </pic:nvPicPr>
                  <pic:blipFill>
                    <a:blip r:embed="rId11"/>
                    <a:stretch>
                      <a:fillRect/>
                    </a:stretch>
                  </pic:blipFill>
                  <pic:spPr>
                    <a:xfrm>
                      <a:off x="0" y="0"/>
                      <a:ext cx="5486400" cy="5486400"/>
                    </a:xfrm>
                    <a:prstGeom prst="rect"/>
                  </pic:spPr>
                </pic:pic>
              </a:graphicData>
            </a:graphic>
          </wp:inline>
        </w:drawing>
      </w:r>
    </w:p>
    <w:p>
      <w:pPr>
        <w:jc w:val="center"/>
      </w:pPr>
      <w:r>
        <w:rPr>
          <w:i/>
          <w:color w:val="475569"/>
          <w:sz w:val="19"/>
        </w:rPr>
        <w:t>Figure 3: System HUD, Multilingual Localization and Live Cloud Telemetry Console</w:t>
      </w:r>
    </w:p>
    <w:p>
      <w:r>
        <w:br w:type="page"/>
      </w:r>
    </w:p>
    <w:p>
      <w:pPr>
        <w:spacing w:before="360" w:after="200"/>
      </w:pPr>
      <w:r>
        <w:rPr>
          <w:rFonts w:ascii="Century Gothic" w:hAnsi="Century Gothic"/>
          <w:b/>
          <w:color w:val="0F172A"/>
          <w:sz w:val="40"/>
        </w:rPr>
        <w:t>6. Technology Stack &amp; Software Packages</w:t>
      </w:r>
    </w:p>
    <w:p>
      <w:r>
        <w:t>Below is a tabulated summary of the technologies and core packages deployed within RaastaSense V2:</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172A"/>
            <w:tcMar>
              <w:top w:w="100" w:type="dxa"/>
              <w:bottom w:w="100" w:type="dxa"/>
              <w:left w:w="150" w:type="dxa"/>
              <w:right w:w="150" w:type="dxa"/>
            </w:tcMar>
          </w:tcPr>
          <w:p>
            <w:r>
              <w:rPr>
                <w:b/>
                <w:color w:val="FFFFFF"/>
              </w:rPr>
              <w:t>Component</w:t>
            </w:r>
          </w:p>
        </w:tc>
        <w:tc>
          <w:tcPr>
            <w:tcW w:type="dxa" w:w="3120"/>
            <w:shd w:fill="0F172A"/>
            <w:tcMar>
              <w:top w:w="100" w:type="dxa"/>
              <w:bottom w:w="100" w:type="dxa"/>
              <w:left w:w="150" w:type="dxa"/>
              <w:right w:w="150" w:type="dxa"/>
            </w:tcMar>
          </w:tcPr>
          <w:p>
            <w:r>
              <w:rPr>
                <w:b/>
                <w:color w:val="FFFFFF"/>
              </w:rPr>
              <w:t>Technologies / Libraries</w:t>
            </w:r>
          </w:p>
        </w:tc>
        <w:tc>
          <w:tcPr>
            <w:tcW w:type="dxa" w:w="3120"/>
            <w:shd w:fill="0F172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shd w:fill="FFFFFF"/>
          </w:tcPr>
          <w:p>
            <w:r>
              <w:t>Frontend UI</w:t>
            </w:r>
          </w:p>
        </w:tc>
        <w:tc>
          <w:tcPr>
            <w:tcW w:type="dxa" w:w="3120"/>
            <w:tcMar>
              <w:top w:w="100" w:type="dxa"/>
              <w:bottom w:w="100" w:type="dxa"/>
              <w:left w:w="150" w:type="dxa"/>
              <w:right w:w="150" w:type="dxa"/>
            </w:tcMar>
            <w:shd w:fill="FFFFFF"/>
          </w:tcPr>
          <w:p>
            <w:r>
              <w:t>React 18, Vite, Tailwind CSS</w:t>
            </w:r>
          </w:p>
        </w:tc>
        <w:tc>
          <w:tcPr>
            <w:tcW w:type="dxa" w:w="3120"/>
            <w:tcMar>
              <w:top w:w="100" w:type="dxa"/>
              <w:bottom w:w="100" w:type="dxa"/>
              <w:left w:w="150" w:type="dxa"/>
              <w:right w:w="150" w:type="dxa"/>
            </w:tcMar>
            <w:shd w:fill="FFFFFF"/>
          </w:tcPr>
          <w:p>
            <w:r>
              <w:t>High-fidelity, glassmorphic client interface</w:t>
            </w:r>
          </w:p>
        </w:tc>
      </w:tr>
      <w:tr>
        <w:tc>
          <w:tcPr>
            <w:tcW w:type="dxa" w:w="3120"/>
            <w:tcMar>
              <w:top w:w="100" w:type="dxa"/>
              <w:bottom w:w="100" w:type="dxa"/>
              <w:left w:w="150" w:type="dxa"/>
              <w:right w:w="150" w:type="dxa"/>
            </w:tcMar>
            <w:shd w:fill="F1F5F9"/>
          </w:tcPr>
          <w:p>
            <w:r>
              <w:t>Animations</w:t>
            </w:r>
          </w:p>
        </w:tc>
        <w:tc>
          <w:tcPr>
            <w:tcW w:type="dxa" w:w="3120"/>
            <w:tcMar>
              <w:top w:w="100" w:type="dxa"/>
              <w:bottom w:w="100" w:type="dxa"/>
              <w:left w:w="150" w:type="dxa"/>
              <w:right w:w="150" w:type="dxa"/>
            </w:tcMar>
            <w:shd w:fill="F1F5F9"/>
          </w:tcPr>
          <w:p>
            <w:r>
              <w:t>Framer Motion</w:t>
            </w:r>
          </w:p>
        </w:tc>
        <w:tc>
          <w:tcPr>
            <w:tcW w:type="dxa" w:w="3120"/>
            <w:tcMar>
              <w:top w:w="100" w:type="dxa"/>
              <w:bottom w:w="100" w:type="dxa"/>
              <w:left w:w="150" w:type="dxa"/>
              <w:right w:w="150" w:type="dxa"/>
            </w:tcMar>
            <w:shd w:fill="F1F5F9"/>
          </w:tcPr>
          <w:p>
            <w:r>
              <w:t>Smooth screen transformations, pulse alarms, road lights</w:t>
            </w:r>
          </w:p>
        </w:tc>
      </w:tr>
      <w:tr>
        <w:tc>
          <w:tcPr>
            <w:tcW w:type="dxa" w:w="3120"/>
            <w:tcMar>
              <w:top w:w="100" w:type="dxa"/>
              <w:bottom w:w="100" w:type="dxa"/>
              <w:left w:w="150" w:type="dxa"/>
              <w:right w:w="150" w:type="dxa"/>
            </w:tcMar>
            <w:shd w:fill="FFFFFF"/>
          </w:tcPr>
          <w:p>
            <w:r>
              <w:t>GIS / Maps</w:t>
            </w:r>
          </w:p>
        </w:tc>
        <w:tc>
          <w:tcPr>
            <w:tcW w:type="dxa" w:w="3120"/>
            <w:tcMar>
              <w:top w:w="100" w:type="dxa"/>
              <w:bottom w:w="100" w:type="dxa"/>
              <w:left w:w="150" w:type="dxa"/>
              <w:right w:w="150" w:type="dxa"/>
            </w:tcMar>
            <w:shd w:fill="FFFFFF"/>
          </w:tcPr>
          <w:p>
            <w:r>
              <w:t>Leaflet.js, OpenStreetMap</w:t>
            </w:r>
          </w:p>
        </w:tc>
        <w:tc>
          <w:tcPr>
            <w:tcW w:type="dxa" w:w="3120"/>
            <w:tcMar>
              <w:top w:w="100" w:type="dxa"/>
              <w:bottom w:w="100" w:type="dxa"/>
              <w:left w:w="150" w:type="dxa"/>
              <w:right w:w="150" w:type="dxa"/>
            </w:tcMar>
            <w:shd w:fill="FFFFFF"/>
          </w:tcPr>
          <w:p>
            <w:r>
              <w:t>Cyber GIS mapping, dynamic vector overlays, routes</w:t>
            </w:r>
          </w:p>
        </w:tc>
      </w:tr>
      <w:tr>
        <w:tc>
          <w:tcPr>
            <w:tcW w:type="dxa" w:w="3120"/>
            <w:tcMar>
              <w:top w:w="100" w:type="dxa"/>
              <w:bottom w:w="100" w:type="dxa"/>
              <w:left w:w="150" w:type="dxa"/>
              <w:right w:w="150" w:type="dxa"/>
            </w:tcMar>
            <w:shd w:fill="F1F5F9"/>
          </w:tcPr>
          <w:p>
            <w:r>
              <w:t>Icons &amp; Assets</w:t>
            </w:r>
          </w:p>
        </w:tc>
        <w:tc>
          <w:tcPr>
            <w:tcW w:type="dxa" w:w="3120"/>
            <w:tcMar>
              <w:top w:w="100" w:type="dxa"/>
              <w:bottom w:w="100" w:type="dxa"/>
              <w:left w:w="150" w:type="dxa"/>
              <w:right w:w="150" w:type="dxa"/>
            </w:tcMar>
            <w:shd w:fill="F1F5F9"/>
          </w:tcPr>
          <w:p>
            <w:r>
              <w:t>Lucide React, Inline vector SVGs</w:t>
            </w:r>
          </w:p>
        </w:tc>
        <w:tc>
          <w:tcPr>
            <w:tcW w:type="dxa" w:w="3120"/>
            <w:tcMar>
              <w:top w:w="100" w:type="dxa"/>
              <w:bottom w:w="100" w:type="dxa"/>
              <w:left w:w="150" w:type="dxa"/>
              <w:right w:w="150" w:type="dxa"/>
            </w:tcMar>
            <w:shd w:fill="F1F5F9"/>
          </w:tcPr>
          <w:p>
            <w:r>
              <w:t>High-fidelity diagnostics indicators, active mascots</w:t>
            </w:r>
          </w:p>
        </w:tc>
      </w:tr>
      <w:tr>
        <w:tc>
          <w:tcPr>
            <w:tcW w:type="dxa" w:w="3120"/>
            <w:tcMar>
              <w:top w:w="100" w:type="dxa"/>
              <w:bottom w:w="100" w:type="dxa"/>
              <w:left w:w="150" w:type="dxa"/>
              <w:right w:w="150" w:type="dxa"/>
            </w:tcMar>
            <w:shd w:fill="FFFFFF"/>
          </w:tcPr>
          <w:p>
            <w:r>
              <w:t>AI Models</w:t>
            </w:r>
          </w:p>
        </w:tc>
        <w:tc>
          <w:tcPr>
            <w:tcW w:type="dxa" w:w="3120"/>
            <w:tcMar>
              <w:top w:w="100" w:type="dxa"/>
              <w:bottom w:w="100" w:type="dxa"/>
              <w:left w:w="150" w:type="dxa"/>
              <w:right w:w="150" w:type="dxa"/>
            </w:tcMar>
            <w:shd w:fill="FFFFFF"/>
          </w:tcPr>
          <w:p>
            <w:r>
              <w:t>Google Vision API &amp; Gemini</w:t>
            </w:r>
          </w:p>
        </w:tc>
        <w:tc>
          <w:tcPr>
            <w:tcW w:type="dxa" w:w="3120"/>
            <w:tcMar>
              <w:top w:w="100" w:type="dxa"/>
              <w:bottom w:w="100" w:type="dxa"/>
              <w:left w:w="150" w:type="dxa"/>
              <w:right w:w="150" w:type="dxa"/>
            </w:tcMar>
            <w:shd w:fill="FFFFFF"/>
          </w:tcPr>
          <w:p>
            <w:r>
              <w:t>Pothole scanning, severity indexing, AI dialog bubbles</w:t>
            </w:r>
          </w:p>
        </w:tc>
      </w:tr>
    </w:tbl>
    <w:p>
      <w:r>
        <w:br w:type="page"/>
      </w:r>
    </w:p>
    <w:p>
      <w:pPr>
        <w:spacing w:before="360" w:after="200"/>
      </w:pPr>
      <w:r>
        <w:rPr>
          <w:rFonts w:ascii="Century Gothic" w:hAnsi="Century Gothic"/>
          <w:b/>
          <w:color w:val="0F172A"/>
          <w:sz w:val="40"/>
        </w:rPr>
        <w:t>7. Deployment &amp; Future Roadmap</w:t>
      </w:r>
    </w:p>
    <w:p>
      <w:pPr>
        <w:spacing w:before="240" w:after="120"/>
      </w:pPr>
      <w:r>
        <w:rPr>
          <w:rFonts w:ascii="Century Gothic" w:hAnsi="Century Gothic"/>
          <w:b/>
          <w:color w:val="475569"/>
          <w:sz w:val="28"/>
        </w:rPr>
        <w:t>7.1 Deployment Infrastructure</w:t>
      </w:r>
    </w:p>
    <w:p>
      <w:r>
        <w:t>RaastaSense V2 is deployed to a high-availability, edge CDN hosted via Vercel for fast assets delivery. The API telemetry server is active on Render with custom environmental variables configurations. The live, production application is accessible at:</w:t>
      </w:r>
    </w:p>
    <w:p>
      <w:pPr>
        <w:jc w:val="center"/>
      </w:pPr>
      <w:r>
        <w:rPr>
          <w:b/>
          <w:color w:val="38BDF8"/>
          <w:sz w:val="24"/>
        </w:rPr>
        <w:t>Live Deployed Production Link: https://raastasense.vercel.app</w:t>
      </w:r>
    </w:p>
    <w:p>
      <w:pPr>
        <w:spacing w:before="240" w:after="120"/>
      </w:pPr>
      <w:r>
        <w:rPr>
          <w:rFonts w:ascii="Century Gothic" w:hAnsi="Century Gothic"/>
          <w:b/>
          <w:color w:val="475569"/>
          <w:sz w:val="28"/>
        </w:rPr>
        <w:t>7.2 Future Scope</w:t>
      </w:r>
    </w:p>
    <w:p>
      <w:r>
        <w:t>• Edge Computer Vision: Direct integration of real-time custom TensorFlow Lite pothole detectors on citizen smartphones.</w:t>
      </w:r>
    </w:p>
    <w:p>
      <w:r>
        <w:t>• Municipal Blockchain Integration: Smart-contract backed audit trails to automatically award bounty scores and payouts to citizens who submit confirmed hazard points.</w:t>
      </w:r>
    </w:p>
    <w:p>
      <w:r>
        <w:t>• Active V2X Signaling: Integrated cellular vehicle-to-everything (V2X) beacons to alert passing drivers of active SOS crash vectors.</w:t>
      </w:r>
    </w:p>
    <w:p>
      <w:r>
        <w:br w:type="page"/>
      </w:r>
    </w:p>
    <w:p>
      <w:pPr>
        <w:spacing w:before="360" w:after="200"/>
      </w:pPr>
      <w:r>
        <w:rPr>
          <w:rFonts w:ascii="Century Gothic" w:hAnsi="Century Gothic"/>
          <w:b/>
          <w:color w:val="0F172A"/>
          <w:sz w:val="40"/>
        </w:rPr>
        <w:t>8. Conclusion</w:t>
      </w:r>
    </w:p>
    <w:p>
      <w:r>
        <w:t>RaastaSense V2 represents a robust, hackathon-winning paradigm in municipal road safety. By bridging GIS live intelligence, state-specific legal compliance surcharges, automated AI incident diagnosis, and sat-locked responder beacon overlays, the NXT-waVE team has built a fail-safe companion ready for real-world municipal deployment. RaastaSense V2 ensures every traveler's journey is protected by active safety intelligence, demonstrating the powerful impact of smart road safety systems in preserving human life.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