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BDAA" w14:textId="4CE625A2" w:rsidR="007B5E9F" w:rsidRPr="002867C5" w:rsidRDefault="00000000">
      <w:pPr>
        <w:spacing w:after="140"/>
      </w:pPr>
      <w:r w:rsidRPr="002867C5">
        <w:t xml:space="preserve">The </w:t>
      </w:r>
      <w:proofErr w:type="spellStart"/>
      <w:r w:rsidR="0081376A" w:rsidRPr="002867C5">
        <w:t>TinyMCE</w:t>
      </w:r>
      <w:proofErr w:type="spellEnd"/>
      <w:r w:rsidR="0081376A" w:rsidRPr="002867C5">
        <w:t xml:space="preserve">  </w:t>
      </w:r>
      <w:r w:rsidRPr="002867C5">
        <w:t>editor is implemented as a hybrid system in which Flutter serves as the parent application shell and an Angular micro-application</w:t>
      </w:r>
      <w:r w:rsidR="0081376A" w:rsidRPr="002867C5">
        <w:t>,</w:t>
      </w:r>
      <w:r w:rsidRPr="002867C5">
        <w:t xml:space="preserve"> running inside a sandboxed &lt;</w:t>
      </w:r>
      <w:proofErr w:type="spellStart"/>
      <w:r w:rsidRPr="002867C5">
        <w:t>iframe</w:t>
      </w:r>
      <w:proofErr w:type="spellEnd"/>
      <w:r w:rsidRPr="002867C5">
        <w:t xml:space="preserve">&gt; owns the </w:t>
      </w:r>
      <w:proofErr w:type="spellStart"/>
      <w:r w:rsidRPr="002867C5">
        <w:t>TinyMCE</w:t>
      </w:r>
      <w:proofErr w:type="spellEnd"/>
      <w:r w:rsidRPr="002867C5">
        <w:t xml:space="preserve"> lifecycle. The two layers communicate exclusively through the browser </w:t>
      </w:r>
      <w:proofErr w:type="spellStart"/>
      <w:r w:rsidRPr="002867C5">
        <w:t>postMessage</w:t>
      </w:r>
      <w:proofErr w:type="spellEnd"/>
      <w:r w:rsidRPr="002867C5">
        <w:t xml:space="preserve"> API. This design was chosen to leverage the mature @tinymce/tinymce-angular integration package while preserving the Flutter widget model for callers.</w:t>
      </w:r>
    </w:p>
    <w:p w14:paraId="7A3B0BA7" w14:textId="77777777" w:rsidR="007B5E9F" w:rsidRPr="002867C5" w:rsidRDefault="00000000">
      <w:pPr>
        <w:spacing w:after="140"/>
      </w:pPr>
      <w:r w:rsidRPr="002867C5">
        <w:t>A feature flag (</w:t>
      </w:r>
      <w:proofErr w:type="spellStart"/>
      <w:r w:rsidRPr="002867C5">
        <w:rPr>
          <w:rFonts w:ascii="Courier New" w:eastAsia="Courier New" w:hAnsi="Courier New" w:cs="Courier New"/>
          <w:sz w:val="20"/>
          <w:szCs w:val="20"/>
        </w:rPr>
        <w:t>EnvConfig.useTinyMceEditor</w:t>
      </w:r>
      <w:proofErr w:type="spellEnd"/>
      <w:r w:rsidRPr="002867C5">
        <w:t xml:space="preserve">) controls whether the application renders </w:t>
      </w:r>
      <w:proofErr w:type="spellStart"/>
      <w:r w:rsidRPr="002867C5">
        <w:t>TinyMCE</w:t>
      </w:r>
      <w:proofErr w:type="spellEnd"/>
      <w:r w:rsidRPr="002867C5">
        <w:t xml:space="preserve"> or the legacy </w:t>
      </w:r>
      <w:proofErr w:type="spellStart"/>
      <w:r w:rsidRPr="002867C5">
        <w:rPr>
          <w:rFonts w:ascii="Courier New" w:eastAsia="Courier New" w:hAnsi="Courier New" w:cs="Courier New"/>
          <w:sz w:val="20"/>
          <w:szCs w:val="20"/>
        </w:rPr>
        <w:t>html_editor_enhanced</w:t>
      </w:r>
      <w:proofErr w:type="spellEnd"/>
      <w:r w:rsidRPr="002867C5">
        <w:t xml:space="preserve"> widget, enabling incremental rollout without code deletion.</w:t>
      </w:r>
    </w:p>
    <w:p w14:paraId="5DCF82FA" w14:textId="7495F604" w:rsidR="007B5E9F" w:rsidRPr="002867C5" w:rsidRDefault="00000000">
      <w:pPr>
        <w:pStyle w:val="Heading2"/>
        <w:rPr>
          <w:color w:val="auto"/>
        </w:rPr>
      </w:pPr>
      <w:bookmarkStart w:id="0" w:name="_Toc230109060"/>
      <w:r w:rsidRPr="002867C5">
        <w:rPr>
          <w:color w:val="auto"/>
        </w:rPr>
        <w:t>Angular Layer</w:t>
      </w:r>
      <w:bookmarkEnd w:id="0"/>
    </w:p>
    <w:p w14:paraId="4F7BCCD0" w14:textId="37907697" w:rsidR="007B5E9F" w:rsidRPr="002867C5" w:rsidRDefault="00000000" w:rsidP="00CD46D6">
      <w:pPr>
        <w:spacing w:after="140"/>
      </w:pPr>
      <w:r w:rsidRPr="002867C5">
        <w:t>The Angular app lives in a separate deployable (/</w:t>
      </w:r>
      <w:proofErr w:type="spellStart"/>
      <w:r w:rsidRPr="002867C5">
        <w:t>wcas</w:t>
      </w:r>
      <w:proofErr w:type="spellEnd"/>
      <w:r w:rsidRPr="002867C5">
        <w:t>-angular). Relevant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5"/>
        <w:gridCol w:w="4895"/>
      </w:tblGrid>
      <w:tr w:rsidR="007B5E9F" w:rsidRPr="002867C5" w14:paraId="1CE0B378" w14:textId="77777777" w:rsidTr="00CD46D6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2872" w14:textId="77777777" w:rsidR="007B5E9F" w:rsidRPr="002867C5" w:rsidRDefault="00000000">
            <w:pPr>
              <w:rPr>
                <w:color w:val="FFFFFF" w:themeColor="background1"/>
              </w:rPr>
            </w:pPr>
            <w:r w:rsidRPr="002867C5">
              <w:rPr>
                <w:b/>
                <w:bCs/>
                <w:color w:val="FFFFFF" w:themeColor="background1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71F0" w14:textId="77777777" w:rsidR="007B5E9F" w:rsidRPr="002867C5" w:rsidRDefault="00000000">
            <w:pPr>
              <w:rPr>
                <w:color w:val="FFFFFF" w:themeColor="background1"/>
              </w:rPr>
            </w:pPr>
            <w:r w:rsidRPr="002867C5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B5E9F" w:rsidRPr="002867C5" w14:paraId="167A16A5" w14:textId="77777777" w:rsidTr="002867C5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CDAB" w14:textId="77777777" w:rsidR="007B5E9F" w:rsidRPr="002867C5" w:rsidRDefault="00000000">
            <w:proofErr w:type="spellStart"/>
            <w:r w:rsidRPr="002867C5">
              <w:rPr>
                <w:sz w:val="20"/>
                <w:szCs w:val="20"/>
              </w:rPr>
              <w:t>src</w:t>
            </w:r>
            <w:proofErr w:type="spellEnd"/>
            <w:r w:rsidRPr="002867C5">
              <w:rPr>
                <w:sz w:val="20"/>
                <w:szCs w:val="20"/>
              </w:rPr>
              <w:t>/app/pages/</w:t>
            </w:r>
            <w:proofErr w:type="spellStart"/>
            <w:r w:rsidRPr="002867C5">
              <w:rPr>
                <w:sz w:val="20"/>
                <w:szCs w:val="20"/>
              </w:rPr>
              <w:t>tinymce</w:t>
            </w:r>
            <w:proofErr w:type="spellEnd"/>
            <w:r w:rsidRPr="002867C5">
              <w:rPr>
                <w:sz w:val="20"/>
                <w:szCs w:val="20"/>
              </w:rPr>
              <w:t>/</w:t>
            </w:r>
            <w:proofErr w:type="spellStart"/>
            <w:r w:rsidRPr="002867C5">
              <w:rPr>
                <w:sz w:val="20"/>
                <w:szCs w:val="20"/>
              </w:rPr>
              <w:t>tinymce.component.ts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197A" w14:textId="77777777" w:rsidR="007B5E9F" w:rsidRPr="002867C5" w:rsidRDefault="00000000">
            <w:r w:rsidRPr="002867C5">
              <w:rPr>
                <w:sz w:val="20"/>
                <w:szCs w:val="20"/>
              </w:rPr>
              <w:t xml:space="preserve">Main component. All </w:t>
            </w:r>
            <w:proofErr w:type="spellStart"/>
            <w:r w:rsidRPr="002867C5">
              <w:rPr>
                <w:sz w:val="20"/>
                <w:szCs w:val="20"/>
              </w:rPr>
              <w:t>TinyMCE</w:t>
            </w:r>
            <w:proofErr w:type="spellEnd"/>
            <w:r w:rsidRPr="002867C5">
              <w:rPr>
                <w:sz w:val="20"/>
                <w:szCs w:val="20"/>
              </w:rPr>
              <w:t xml:space="preserve"> </w:t>
            </w:r>
            <w:proofErr w:type="spellStart"/>
            <w:r w:rsidRPr="002867C5">
              <w:rPr>
                <w:sz w:val="20"/>
                <w:szCs w:val="20"/>
              </w:rPr>
              <w:t>init</w:t>
            </w:r>
            <w:proofErr w:type="spellEnd"/>
            <w:r w:rsidRPr="002867C5">
              <w:rPr>
                <w:sz w:val="20"/>
                <w:szCs w:val="20"/>
              </w:rPr>
              <w:t>, message handling, character limit enforcement, scroll event forwarding, and paste handling.</w:t>
            </w:r>
          </w:p>
        </w:tc>
      </w:tr>
      <w:tr w:rsidR="007B5E9F" w:rsidRPr="002867C5" w14:paraId="0D135F67" w14:textId="77777777" w:rsidTr="002867C5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69B1" w14:textId="77777777" w:rsidR="007B5E9F" w:rsidRPr="002867C5" w:rsidRDefault="00000000">
            <w:proofErr w:type="spellStart"/>
            <w:r w:rsidRPr="002867C5">
              <w:rPr>
                <w:sz w:val="20"/>
                <w:szCs w:val="20"/>
              </w:rPr>
              <w:t>src</w:t>
            </w:r>
            <w:proofErr w:type="spellEnd"/>
            <w:r w:rsidRPr="002867C5">
              <w:rPr>
                <w:sz w:val="20"/>
                <w:szCs w:val="20"/>
              </w:rPr>
              <w:t>/app/pages/</w:t>
            </w:r>
            <w:proofErr w:type="spellStart"/>
            <w:r w:rsidRPr="002867C5">
              <w:rPr>
                <w:sz w:val="20"/>
                <w:szCs w:val="20"/>
              </w:rPr>
              <w:t>tinymce</w:t>
            </w:r>
            <w:proofErr w:type="spellEnd"/>
            <w:r w:rsidRPr="002867C5">
              <w:rPr>
                <w:sz w:val="20"/>
                <w:szCs w:val="20"/>
              </w:rPr>
              <w:t>/tinymce.component.html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9C85" w14:textId="77777777" w:rsidR="007B5E9F" w:rsidRPr="002867C5" w:rsidRDefault="00000000">
            <w:r w:rsidRPr="002867C5">
              <w:rPr>
                <w:sz w:val="20"/>
                <w:szCs w:val="20"/>
              </w:rPr>
              <w:t>Template rendering the &lt;editor&gt; element.</w:t>
            </w:r>
          </w:p>
        </w:tc>
      </w:tr>
    </w:tbl>
    <w:p w14:paraId="1D93451F" w14:textId="49AFE68B" w:rsidR="007B5E9F" w:rsidRPr="002867C5" w:rsidRDefault="00000000" w:rsidP="00CD46D6">
      <w:pPr>
        <w:pStyle w:val="Heading2"/>
        <w:rPr>
          <w:color w:val="auto"/>
        </w:rPr>
      </w:pPr>
      <w:bookmarkStart w:id="1" w:name="_Toc230109061"/>
      <w:r w:rsidRPr="002867C5">
        <w:rPr>
          <w:color w:val="auto"/>
        </w:rPr>
        <w:t>Data / Message Contract</w:t>
      </w:r>
      <w:bookmarkEnd w:id="1"/>
    </w:p>
    <w:p w14:paraId="7234DC87" w14:textId="77777777" w:rsidR="007B5E9F" w:rsidRPr="002867C5" w:rsidRDefault="00000000">
      <w:pPr>
        <w:spacing w:after="140"/>
      </w:pPr>
      <w:r w:rsidRPr="002867C5">
        <w:t>All messages in both directions use the same envelope structure:</w:t>
      </w:r>
    </w:p>
    <w:p w14:paraId="70FD0E71" w14:textId="77777777" w:rsidR="007B5E9F" w:rsidRPr="002867C5" w:rsidRDefault="00000000">
      <w:pPr>
        <w:shd w:val="clear" w:color="auto" w:fill="F1EFE8"/>
        <w:spacing w:before="80"/>
        <w:ind w:left="360"/>
      </w:pPr>
      <w:r w:rsidRPr="002867C5">
        <w:rPr>
          <w:rFonts w:ascii="Courier New" w:eastAsia="Courier New" w:hAnsi="Courier New" w:cs="Courier New"/>
          <w:sz w:val="18"/>
          <w:szCs w:val="18"/>
        </w:rPr>
        <w:t>{</w:t>
      </w:r>
    </w:p>
    <w:p w14:paraId="371FF85E" w14:textId="77777777" w:rsidR="007B5E9F" w:rsidRPr="002867C5" w:rsidRDefault="00000000">
      <w:pPr>
        <w:shd w:val="clear" w:color="auto" w:fill="F1EFE8"/>
        <w:ind w:left="360"/>
      </w:pPr>
      <w:r w:rsidRPr="002867C5"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 w:rsidRPr="002867C5">
        <w:rPr>
          <w:rFonts w:ascii="Courier New" w:eastAsia="Courier New" w:hAnsi="Courier New" w:cs="Courier New"/>
          <w:sz w:val="18"/>
          <w:szCs w:val="18"/>
        </w:rPr>
        <w:t>editor_id</w:t>
      </w:r>
      <w:proofErr w:type="spellEnd"/>
      <w:r w:rsidRPr="002867C5">
        <w:rPr>
          <w:rFonts w:ascii="Courier New" w:eastAsia="Courier New" w:hAnsi="Courier New" w:cs="Courier New"/>
          <w:sz w:val="18"/>
          <w:szCs w:val="18"/>
        </w:rPr>
        <w:t>": "&lt;string&gt;",</w:t>
      </w:r>
    </w:p>
    <w:p w14:paraId="6087F69A" w14:textId="77777777" w:rsidR="007B5E9F" w:rsidRPr="002867C5" w:rsidRDefault="00000000">
      <w:pPr>
        <w:shd w:val="clear" w:color="auto" w:fill="F1EFE8"/>
        <w:ind w:left="360"/>
      </w:pPr>
      <w:r w:rsidRPr="002867C5">
        <w:rPr>
          <w:rFonts w:ascii="Courier New" w:eastAsia="Courier New" w:hAnsi="Courier New" w:cs="Courier New"/>
          <w:sz w:val="18"/>
          <w:szCs w:val="18"/>
        </w:rPr>
        <w:t xml:space="preserve">  "action":    "&lt;string&gt;",</w:t>
      </w:r>
    </w:p>
    <w:p w14:paraId="5B0C6496" w14:textId="77777777" w:rsidR="007B5E9F" w:rsidRPr="002867C5" w:rsidRDefault="00000000">
      <w:pPr>
        <w:shd w:val="clear" w:color="auto" w:fill="F1EFE8"/>
        <w:ind w:left="360"/>
      </w:pPr>
      <w:r w:rsidRPr="002867C5">
        <w:rPr>
          <w:rFonts w:ascii="Courier New" w:eastAsia="Courier New" w:hAnsi="Courier New" w:cs="Courier New"/>
          <w:sz w:val="18"/>
          <w:szCs w:val="18"/>
        </w:rPr>
        <w:t xml:space="preserve">  "data":      "&lt;string | object | null&gt;"</w:t>
      </w:r>
    </w:p>
    <w:p w14:paraId="057BA4E3" w14:textId="77777777" w:rsidR="007B5E9F" w:rsidRPr="002867C5" w:rsidRDefault="00000000">
      <w:pPr>
        <w:shd w:val="clear" w:color="auto" w:fill="F1EFE8"/>
        <w:spacing w:after="80"/>
        <w:ind w:left="360"/>
      </w:pPr>
      <w:r w:rsidRPr="002867C5">
        <w:rPr>
          <w:rFonts w:ascii="Courier New" w:eastAsia="Courier New" w:hAnsi="Courier New" w:cs="Courier New"/>
          <w:sz w:val="18"/>
          <w:szCs w:val="18"/>
        </w:rPr>
        <w:t>}</w:t>
      </w:r>
    </w:p>
    <w:p w14:paraId="2F728402" w14:textId="7FB2C8B5" w:rsidR="007B5E9F" w:rsidRPr="002867C5" w:rsidRDefault="00000000" w:rsidP="00CD46D6">
      <w:pPr>
        <w:pStyle w:val="Heading3"/>
        <w:rPr>
          <w:color w:val="auto"/>
        </w:rPr>
      </w:pPr>
      <w:bookmarkStart w:id="2" w:name="_Toc230109062"/>
      <w:r w:rsidRPr="002867C5">
        <w:rPr>
          <w:color w:val="auto"/>
        </w:rPr>
        <w:t xml:space="preserve">Flutter </w:t>
      </w:r>
      <w:r w:rsidR="00CD46D6" w:rsidRPr="002867C5">
        <w:rPr>
          <w:color w:val="auto"/>
        </w:rPr>
        <w:t>to</w:t>
      </w:r>
      <w:r w:rsidRPr="002867C5">
        <w:rPr>
          <w:color w:val="auto"/>
        </w:rPr>
        <w:t xml:space="preserve"> Angular</w:t>
      </w:r>
      <w:bookmarkEnd w:id="2"/>
      <w:r w:rsidR="00CD46D6" w:rsidRPr="002867C5">
        <w:rPr>
          <w:color w:val="auto"/>
        </w:rPr>
        <w:t>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521"/>
      </w:tblGrid>
      <w:tr w:rsidR="0081376A" w:rsidRPr="002867C5" w14:paraId="6F195216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1BFD" w14:textId="4500BBF2" w:rsidR="0081376A" w:rsidRPr="002867C5" w:rsidRDefault="00CD46D6">
            <w:pPr>
              <w:rPr>
                <w:color w:val="FFFFFF" w:themeColor="background1"/>
              </w:rPr>
            </w:pPr>
            <w:r w:rsidRPr="002867C5">
              <w:rPr>
                <w:b/>
                <w:bCs/>
                <w:color w:val="FFFFFF" w:themeColor="background1"/>
                <w:sz w:val="20"/>
                <w:szCs w:val="20"/>
              </w:rPr>
              <w:t>A</w:t>
            </w:r>
            <w:r w:rsidR="0081376A" w:rsidRPr="002867C5">
              <w:rPr>
                <w:b/>
                <w:bCs/>
                <w:color w:val="FFFFFF" w:themeColor="background1"/>
                <w:sz w:val="20"/>
                <w:szCs w:val="20"/>
              </w:rPr>
              <w:t>ction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FC49" w14:textId="77777777" w:rsidR="0081376A" w:rsidRPr="002867C5" w:rsidRDefault="0081376A">
            <w:pPr>
              <w:rPr>
                <w:color w:val="FFFFFF" w:themeColor="background1"/>
              </w:rPr>
            </w:pPr>
            <w:r w:rsidRPr="002867C5">
              <w:rPr>
                <w:b/>
                <w:bCs/>
                <w:color w:val="FFFFFF" w:themeColor="background1"/>
                <w:sz w:val="20"/>
                <w:szCs w:val="20"/>
              </w:rPr>
              <w:t>Trigger</w:t>
            </w:r>
          </w:p>
        </w:tc>
      </w:tr>
      <w:tr w:rsidR="0081376A" w:rsidRPr="002867C5" w14:paraId="464BE2B6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0077" w14:textId="77777777" w:rsidR="0081376A" w:rsidRPr="003A7EEE" w:rsidRDefault="0081376A">
            <w:pPr>
              <w:rPr>
                <w:sz w:val="20"/>
                <w:szCs w:val="20"/>
              </w:rPr>
            </w:pPr>
            <w:proofErr w:type="spellStart"/>
            <w:r w:rsidRPr="003A7EEE">
              <w:rPr>
                <w:sz w:val="20"/>
                <w:szCs w:val="20"/>
              </w:rPr>
              <w:t>set_initial_data</w:t>
            </w:r>
            <w:proofErr w:type="spellEnd"/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49AB" w14:textId="77777777" w:rsidR="0081376A" w:rsidRPr="002867C5" w:rsidRDefault="0081376A">
            <w:r w:rsidRPr="002867C5">
              <w:rPr>
                <w:sz w:val="20"/>
                <w:szCs w:val="20"/>
              </w:rPr>
              <w:t xml:space="preserve">On receipt of </w:t>
            </w:r>
            <w:proofErr w:type="spellStart"/>
            <w:r w:rsidRPr="002867C5">
              <w:rPr>
                <w:sz w:val="20"/>
                <w:szCs w:val="20"/>
              </w:rPr>
              <w:t>page_loaded</w:t>
            </w:r>
            <w:proofErr w:type="spellEnd"/>
            <w:r w:rsidRPr="002867C5">
              <w:rPr>
                <w:sz w:val="20"/>
                <w:szCs w:val="20"/>
              </w:rPr>
              <w:t xml:space="preserve">; also on programmatic </w:t>
            </w:r>
            <w:proofErr w:type="spellStart"/>
            <w:r w:rsidRPr="002867C5">
              <w:rPr>
                <w:sz w:val="20"/>
                <w:szCs w:val="20"/>
              </w:rPr>
              <w:t>setText</w:t>
            </w:r>
            <w:proofErr w:type="spellEnd"/>
            <w:r w:rsidRPr="002867C5">
              <w:rPr>
                <w:sz w:val="20"/>
                <w:szCs w:val="20"/>
              </w:rPr>
              <w:t>() call</w:t>
            </w:r>
          </w:p>
        </w:tc>
      </w:tr>
      <w:tr w:rsidR="0081376A" w:rsidRPr="002867C5" w14:paraId="638F1F04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45CB" w14:textId="77777777" w:rsidR="0081376A" w:rsidRPr="003A7EEE" w:rsidRDefault="0081376A">
            <w:pPr>
              <w:rPr>
                <w:sz w:val="20"/>
                <w:szCs w:val="20"/>
              </w:rPr>
            </w:pPr>
            <w:proofErr w:type="spellStart"/>
            <w:r w:rsidRPr="003A7EEE">
              <w:rPr>
                <w:sz w:val="20"/>
                <w:szCs w:val="20"/>
              </w:rPr>
              <w:t>request_content</w:t>
            </w:r>
            <w:proofErr w:type="spellEnd"/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456C" w14:textId="77777777" w:rsidR="0081376A" w:rsidRPr="002867C5" w:rsidRDefault="0081376A">
            <w:r w:rsidRPr="002867C5">
              <w:rPr>
                <w:sz w:val="20"/>
                <w:szCs w:val="20"/>
              </w:rPr>
              <w:t xml:space="preserve">When </w:t>
            </w:r>
            <w:proofErr w:type="spellStart"/>
            <w:r w:rsidRPr="002867C5">
              <w:rPr>
                <w:sz w:val="20"/>
                <w:szCs w:val="20"/>
              </w:rPr>
              <w:t>RichTextController.getText</w:t>
            </w:r>
            <w:proofErr w:type="spellEnd"/>
            <w:r w:rsidRPr="002867C5">
              <w:rPr>
                <w:sz w:val="20"/>
                <w:szCs w:val="20"/>
              </w:rPr>
              <w:t>() is called</w:t>
            </w:r>
          </w:p>
        </w:tc>
      </w:tr>
    </w:tbl>
    <w:p w14:paraId="4FAD435A" w14:textId="08CAC9E8" w:rsidR="007B5E9F" w:rsidRPr="002867C5" w:rsidRDefault="00CD46D6" w:rsidP="00CD46D6">
      <w:pPr>
        <w:pStyle w:val="Heading3"/>
        <w:rPr>
          <w:color w:val="auto"/>
        </w:rPr>
      </w:pPr>
      <w:bookmarkStart w:id="3" w:name="_Toc230109063"/>
      <w:r w:rsidRPr="002867C5">
        <w:rPr>
          <w:color w:val="auto"/>
        </w:rPr>
        <w:t>Angular to</w:t>
      </w:r>
      <w:r w:rsidRPr="002867C5">
        <w:rPr>
          <w:color w:val="auto"/>
          <w:sz w:val="28"/>
          <w:szCs w:val="28"/>
        </w:rPr>
        <w:t xml:space="preserve"> Flutter</w:t>
      </w:r>
      <w:bookmarkEnd w:id="3"/>
      <w:r w:rsidRPr="002867C5">
        <w:rPr>
          <w:color w:val="auto"/>
        </w:rPr>
        <w:t>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521"/>
      </w:tblGrid>
      <w:tr w:rsidR="002867C5" w:rsidRPr="002867C5" w14:paraId="6E987107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C390" w14:textId="025E8063" w:rsidR="002867C5" w:rsidRPr="002867C5" w:rsidRDefault="002867C5">
            <w:pPr>
              <w:rPr>
                <w:color w:val="FFFFFF" w:themeColor="background1"/>
              </w:rPr>
            </w:pPr>
            <w:r w:rsidRPr="002867C5">
              <w:rPr>
                <w:b/>
                <w:bCs/>
                <w:color w:val="FFFFFF" w:themeColor="background1"/>
                <w:sz w:val="20"/>
                <w:szCs w:val="20"/>
              </w:rPr>
              <w:t>Action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C2E4" w14:textId="77777777" w:rsidR="002867C5" w:rsidRPr="002867C5" w:rsidRDefault="002867C5">
            <w:pPr>
              <w:rPr>
                <w:color w:val="FFFFFF" w:themeColor="background1"/>
              </w:rPr>
            </w:pPr>
            <w:r w:rsidRPr="002867C5">
              <w:rPr>
                <w:b/>
                <w:bCs/>
                <w:color w:val="FFFFFF" w:themeColor="background1"/>
                <w:sz w:val="20"/>
                <w:szCs w:val="20"/>
              </w:rPr>
              <w:t>Trigger</w:t>
            </w:r>
          </w:p>
        </w:tc>
      </w:tr>
      <w:tr w:rsidR="002867C5" w:rsidRPr="002867C5" w14:paraId="48153C57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0F54" w14:textId="77777777" w:rsidR="002867C5" w:rsidRPr="003A7EEE" w:rsidRDefault="002867C5">
            <w:pPr>
              <w:rPr>
                <w:sz w:val="20"/>
                <w:szCs w:val="20"/>
              </w:rPr>
            </w:pPr>
            <w:proofErr w:type="spellStart"/>
            <w:r w:rsidRPr="003A7EEE">
              <w:rPr>
                <w:sz w:val="20"/>
                <w:szCs w:val="20"/>
              </w:rPr>
              <w:t>page_loaded</w:t>
            </w:r>
            <w:proofErr w:type="spellEnd"/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6825" w14:textId="77777777" w:rsidR="002867C5" w:rsidRPr="002867C5" w:rsidRDefault="002867C5">
            <w:r w:rsidRPr="002867C5">
              <w:rPr>
                <w:sz w:val="20"/>
                <w:szCs w:val="20"/>
              </w:rPr>
              <w:t xml:space="preserve">Once, after </w:t>
            </w:r>
            <w:proofErr w:type="spellStart"/>
            <w:r w:rsidRPr="002867C5">
              <w:rPr>
                <w:sz w:val="20"/>
                <w:szCs w:val="20"/>
              </w:rPr>
              <w:t>onEditorInit</w:t>
            </w:r>
            <w:proofErr w:type="spellEnd"/>
            <w:r w:rsidRPr="002867C5">
              <w:rPr>
                <w:sz w:val="20"/>
                <w:szCs w:val="20"/>
              </w:rPr>
              <w:t xml:space="preserve"> fires (guarded by </w:t>
            </w:r>
            <w:proofErr w:type="spellStart"/>
            <w:r w:rsidRPr="002867C5">
              <w:rPr>
                <w:sz w:val="20"/>
                <w:szCs w:val="20"/>
              </w:rPr>
              <w:t>hasNotifiedParent</w:t>
            </w:r>
            <w:proofErr w:type="spellEnd"/>
            <w:r w:rsidRPr="002867C5">
              <w:rPr>
                <w:sz w:val="20"/>
                <w:szCs w:val="20"/>
              </w:rPr>
              <w:t>)</w:t>
            </w:r>
          </w:p>
        </w:tc>
      </w:tr>
      <w:tr w:rsidR="002867C5" w:rsidRPr="002867C5" w14:paraId="0D7248DC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BAD5" w14:textId="77777777" w:rsidR="002867C5" w:rsidRPr="003A7EEE" w:rsidRDefault="002867C5">
            <w:pPr>
              <w:rPr>
                <w:sz w:val="20"/>
                <w:szCs w:val="20"/>
              </w:rPr>
            </w:pPr>
            <w:proofErr w:type="spellStart"/>
            <w:r w:rsidRPr="003A7EEE">
              <w:rPr>
                <w:sz w:val="20"/>
                <w:szCs w:val="20"/>
              </w:rPr>
              <w:t>content_sent</w:t>
            </w:r>
            <w:proofErr w:type="spellEnd"/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57A6" w14:textId="77777777" w:rsidR="002867C5" w:rsidRPr="002867C5" w:rsidRDefault="002867C5">
            <w:r w:rsidRPr="002867C5">
              <w:rPr>
                <w:sz w:val="20"/>
                <w:szCs w:val="20"/>
              </w:rPr>
              <w:t xml:space="preserve">(1) In response to </w:t>
            </w:r>
            <w:proofErr w:type="spellStart"/>
            <w:r w:rsidRPr="002867C5">
              <w:rPr>
                <w:sz w:val="20"/>
                <w:szCs w:val="20"/>
              </w:rPr>
              <w:t>request_content</w:t>
            </w:r>
            <w:proofErr w:type="spellEnd"/>
            <w:r w:rsidRPr="002867C5">
              <w:rPr>
                <w:sz w:val="20"/>
                <w:szCs w:val="20"/>
              </w:rPr>
              <w:t>; (2) automatically on every editor input/change event</w:t>
            </w:r>
          </w:p>
        </w:tc>
      </w:tr>
      <w:tr w:rsidR="002867C5" w:rsidRPr="002867C5" w14:paraId="17A5817F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D352" w14:textId="77777777" w:rsidR="002867C5" w:rsidRPr="003A7EEE" w:rsidRDefault="002867C5">
            <w:pPr>
              <w:rPr>
                <w:sz w:val="20"/>
                <w:szCs w:val="20"/>
              </w:rPr>
            </w:pPr>
            <w:proofErr w:type="spellStart"/>
            <w:r w:rsidRPr="003A7EEE">
              <w:rPr>
                <w:sz w:val="20"/>
                <w:szCs w:val="20"/>
              </w:rPr>
              <w:t>scroll_event</w:t>
            </w:r>
            <w:proofErr w:type="spellEnd"/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9C44" w14:textId="77777777" w:rsidR="002867C5" w:rsidRPr="002867C5" w:rsidRDefault="002867C5">
            <w:r w:rsidRPr="002867C5">
              <w:rPr>
                <w:sz w:val="20"/>
                <w:szCs w:val="20"/>
              </w:rPr>
              <w:t>When a wheel event occurs at the editor scroll boundary</w:t>
            </w:r>
          </w:p>
        </w:tc>
      </w:tr>
      <w:tr w:rsidR="002867C5" w:rsidRPr="002867C5" w14:paraId="167CFDEE" w14:textId="77777777" w:rsidTr="002867C5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9FBB" w14:textId="77777777" w:rsidR="002867C5" w:rsidRPr="003A7EEE" w:rsidRDefault="002867C5">
            <w:pPr>
              <w:rPr>
                <w:sz w:val="20"/>
                <w:szCs w:val="20"/>
              </w:rPr>
            </w:pPr>
            <w:r w:rsidRPr="003A7EEE">
              <w:rPr>
                <w:sz w:val="20"/>
                <w:szCs w:val="20"/>
              </w:rPr>
              <w:t>error</w:t>
            </w:r>
          </w:p>
        </w:tc>
        <w:tc>
          <w:tcPr>
            <w:tcW w:w="6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A1ED" w14:textId="77777777" w:rsidR="002867C5" w:rsidRPr="002867C5" w:rsidRDefault="002867C5">
            <w:r w:rsidRPr="002867C5">
              <w:rPr>
                <w:sz w:val="20"/>
                <w:szCs w:val="20"/>
              </w:rPr>
              <w:t xml:space="preserve">When </w:t>
            </w:r>
            <w:proofErr w:type="spellStart"/>
            <w:r w:rsidRPr="002867C5">
              <w:rPr>
                <w:sz w:val="20"/>
                <w:szCs w:val="20"/>
              </w:rPr>
              <w:t>set_initial_data</w:t>
            </w:r>
            <w:proofErr w:type="spellEnd"/>
            <w:r w:rsidRPr="002867C5">
              <w:rPr>
                <w:sz w:val="20"/>
                <w:szCs w:val="20"/>
              </w:rPr>
              <w:t xml:space="preserve"> or </w:t>
            </w:r>
            <w:proofErr w:type="spellStart"/>
            <w:r w:rsidRPr="002867C5">
              <w:rPr>
                <w:sz w:val="20"/>
                <w:szCs w:val="20"/>
              </w:rPr>
              <w:t>request_content</w:t>
            </w:r>
            <w:proofErr w:type="spellEnd"/>
            <w:r w:rsidRPr="002867C5">
              <w:rPr>
                <w:sz w:val="20"/>
                <w:szCs w:val="20"/>
              </w:rPr>
              <w:t xml:space="preserve"> fails (e.g., editor not yet initialized)</w:t>
            </w:r>
          </w:p>
        </w:tc>
      </w:tr>
    </w:tbl>
    <w:p w14:paraId="5F02CE40" w14:textId="12F9E634" w:rsidR="00CD46D6" w:rsidRPr="002867C5" w:rsidRDefault="00CD46D6" w:rsidP="00CD46D6">
      <w:pPr>
        <w:pStyle w:val="Heading1"/>
        <w:rPr>
          <w:color w:val="auto"/>
        </w:rPr>
      </w:pPr>
    </w:p>
    <w:p w14:paraId="39E0D9EF" w14:textId="0DAE6470" w:rsidR="007B5E9F" w:rsidRPr="002867C5" w:rsidRDefault="007B5E9F">
      <w:pPr>
        <w:spacing w:after="140"/>
      </w:pPr>
    </w:p>
    <w:sectPr w:rsidR="007B5E9F" w:rsidRPr="002867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81338"/>
    <w:multiLevelType w:val="hybridMultilevel"/>
    <w:tmpl w:val="F88EECF4"/>
    <w:lvl w:ilvl="0" w:tplc="08EA53B6">
      <w:start w:val="1"/>
      <w:numFmt w:val="bullet"/>
      <w:lvlText w:val="•"/>
      <w:lvlJc w:val="left"/>
      <w:pPr>
        <w:ind w:left="720" w:hanging="360"/>
      </w:pPr>
    </w:lvl>
    <w:lvl w:ilvl="1" w:tplc="06A8AB0C">
      <w:start w:val="1"/>
      <w:numFmt w:val="bullet"/>
      <w:lvlText w:val="◦"/>
      <w:lvlJc w:val="left"/>
      <w:pPr>
        <w:ind w:left="1080" w:hanging="360"/>
      </w:pPr>
    </w:lvl>
    <w:lvl w:ilvl="2" w:tplc="8FA8A36A">
      <w:numFmt w:val="decimal"/>
      <w:lvlText w:val=""/>
      <w:lvlJc w:val="left"/>
    </w:lvl>
    <w:lvl w:ilvl="3" w:tplc="BCF21166">
      <w:numFmt w:val="decimal"/>
      <w:lvlText w:val=""/>
      <w:lvlJc w:val="left"/>
    </w:lvl>
    <w:lvl w:ilvl="4" w:tplc="B4CA4C04">
      <w:numFmt w:val="decimal"/>
      <w:lvlText w:val=""/>
      <w:lvlJc w:val="left"/>
    </w:lvl>
    <w:lvl w:ilvl="5" w:tplc="C758F5CE">
      <w:numFmt w:val="decimal"/>
      <w:lvlText w:val=""/>
      <w:lvlJc w:val="left"/>
    </w:lvl>
    <w:lvl w:ilvl="6" w:tplc="7D521756">
      <w:numFmt w:val="decimal"/>
      <w:lvlText w:val=""/>
      <w:lvlJc w:val="left"/>
    </w:lvl>
    <w:lvl w:ilvl="7" w:tplc="8564F1AC">
      <w:numFmt w:val="decimal"/>
      <w:lvlText w:val=""/>
      <w:lvlJc w:val="left"/>
    </w:lvl>
    <w:lvl w:ilvl="8" w:tplc="1A4665D2">
      <w:numFmt w:val="decimal"/>
      <w:lvlText w:val=""/>
      <w:lvlJc w:val="left"/>
    </w:lvl>
  </w:abstractNum>
  <w:abstractNum w:abstractNumId="1" w15:restartNumberingAfterBreak="0">
    <w:nsid w:val="4E7064F0"/>
    <w:multiLevelType w:val="hybridMultilevel"/>
    <w:tmpl w:val="A1EA0530"/>
    <w:lvl w:ilvl="0" w:tplc="868AF746">
      <w:start w:val="1"/>
      <w:numFmt w:val="bullet"/>
      <w:lvlText w:val="●"/>
      <w:lvlJc w:val="left"/>
      <w:pPr>
        <w:ind w:left="720" w:hanging="360"/>
      </w:pPr>
    </w:lvl>
    <w:lvl w:ilvl="1" w:tplc="EB64F8B8">
      <w:start w:val="1"/>
      <w:numFmt w:val="bullet"/>
      <w:lvlText w:val="○"/>
      <w:lvlJc w:val="left"/>
      <w:pPr>
        <w:ind w:left="1440" w:hanging="360"/>
      </w:pPr>
    </w:lvl>
    <w:lvl w:ilvl="2" w:tplc="4ED4B18E">
      <w:start w:val="1"/>
      <w:numFmt w:val="bullet"/>
      <w:lvlText w:val="■"/>
      <w:lvlJc w:val="left"/>
      <w:pPr>
        <w:ind w:left="2160" w:hanging="360"/>
      </w:pPr>
    </w:lvl>
    <w:lvl w:ilvl="3" w:tplc="2FEAB24A">
      <w:start w:val="1"/>
      <w:numFmt w:val="bullet"/>
      <w:lvlText w:val="●"/>
      <w:lvlJc w:val="left"/>
      <w:pPr>
        <w:ind w:left="2880" w:hanging="360"/>
      </w:pPr>
    </w:lvl>
    <w:lvl w:ilvl="4" w:tplc="4638439C">
      <w:start w:val="1"/>
      <w:numFmt w:val="bullet"/>
      <w:lvlText w:val="○"/>
      <w:lvlJc w:val="left"/>
      <w:pPr>
        <w:ind w:left="3600" w:hanging="360"/>
      </w:pPr>
    </w:lvl>
    <w:lvl w:ilvl="5" w:tplc="431CF750">
      <w:start w:val="1"/>
      <w:numFmt w:val="bullet"/>
      <w:lvlText w:val="■"/>
      <w:lvlJc w:val="left"/>
      <w:pPr>
        <w:ind w:left="4320" w:hanging="360"/>
      </w:pPr>
    </w:lvl>
    <w:lvl w:ilvl="6" w:tplc="823E2B30">
      <w:start w:val="1"/>
      <w:numFmt w:val="bullet"/>
      <w:lvlText w:val="●"/>
      <w:lvlJc w:val="left"/>
      <w:pPr>
        <w:ind w:left="5040" w:hanging="360"/>
      </w:pPr>
    </w:lvl>
    <w:lvl w:ilvl="7" w:tplc="4EB006D6">
      <w:start w:val="1"/>
      <w:numFmt w:val="bullet"/>
      <w:lvlText w:val="●"/>
      <w:lvlJc w:val="left"/>
      <w:pPr>
        <w:ind w:left="5760" w:hanging="360"/>
      </w:pPr>
    </w:lvl>
    <w:lvl w:ilvl="8" w:tplc="A170B2E2">
      <w:start w:val="1"/>
      <w:numFmt w:val="bullet"/>
      <w:lvlText w:val="●"/>
      <w:lvlJc w:val="left"/>
      <w:pPr>
        <w:ind w:left="6480" w:hanging="360"/>
      </w:pPr>
    </w:lvl>
  </w:abstractNum>
  <w:num w:numId="1" w16cid:durableId="1880623506">
    <w:abstractNumId w:val="1"/>
    <w:lvlOverride w:ilvl="0">
      <w:startOverride w:val="1"/>
    </w:lvlOverride>
  </w:num>
  <w:num w:numId="2" w16cid:durableId="642200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E9F"/>
    <w:rsid w:val="002867C5"/>
    <w:rsid w:val="003A7EEE"/>
    <w:rsid w:val="004E73A3"/>
    <w:rsid w:val="007B5E9F"/>
    <w:rsid w:val="0081376A"/>
    <w:rsid w:val="00A174CD"/>
    <w:rsid w:val="00C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C3B2"/>
  <w15:docId w15:val="{B5DCEA97-C5F4-DC4C-A20A-9286E393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C2C2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534AB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F6E5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137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376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376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4BCA8D-8059-C847-93F4-AD345FE75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Stefin</cp:lastModifiedBy>
  <cp:revision>3</cp:revision>
  <dcterms:created xsi:type="dcterms:W3CDTF">2026-05-19T11:07:00Z</dcterms:created>
  <dcterms:modified xsi:type="dcterms:W3CDTF">2026-05-19T14:09:00Z</dcterms:modified>
</cp:coreProperties>
</file>