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In scenario two the primary issues are about,  Iraqis are left scrambling for prosthetics which are 30 years out of date. they estimate demand for as many as 3,000 additional replacement limbs annually in their region alone. It is believed that as many as 6% of wounded US troops serving in Iraq will require an amputation. The usual figure is 3%. Mosul-based US orthopedic military surgeon Lieutenant Colonel Wayne Mosley said around 80% of the injuries seen at the military hospital were to the extremities. It is estimated by the Ministry of Health in Iraq, that there are “approximately 80,000 amputees of whom some 75 to 85 percent reportedly were caused by mines or unexploded ordinance.” Many of the wounded are innocent children and women who are completely disconnected from the war.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estimated by the Ministry of Health in Iraq, that there are “approximately 80,000 amputees of whom some 75 to 85 percent reportedly were caused by mines or unexploded ordinance.”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Mosul-based US orthopedic military surgeon Lieutenant Colonel Wayne Mosley said around 80% of the injuries seen at the military hospital were to the extremities.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believed that as many as 6% of wounded US troops serving in Iraq will require an amputation. The usual figure is 3%.</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Iraqis are left scrambling for prosthetics which are 30 years out of date. they estimate demand for as many as 3,000 additional replacement limbs annually in their region alone.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wounded are innocent children and women who are completely disconnected from the war.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