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52"/>
        </w:rPr>
        <w:t>Version Manager Architecture Diagram Pack</w:t>
      </w:r>
    </w:p>
    <w:p>
      <w:pPr>
        <w:jc w:val="center"/>
      </w:pPr>
      <w:r>
        <w:rPr>
          <w:color w:val="5F6B7A"/>
          <w:sz w:val="24"/>
        </w:rPr>
        <w:t>LangGraph + MCP Multi-Agent System | Enterprise Architecture Views</w:t>
      </w:r>
    </w:p>
    <w:p>
      <w:pPr>
        <w:pStyle w:val="Heading1"/>
      </w:pPr>
      <w:r>
        <w:t>Architecture Overview</w:t>
      </w:r>
    </w:p>
    <w:p>
      <w:r>
        <w:t>This document provides industrial-style architecture diagrams for the Version Manager platform. The diagrams are embedded as high-resolution images so they can be reviewed directly in Word, shared with stakeholders, and reused in enterprise design reviews without Mermaid rendering.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</w:tcPr>
          <w:p>
            <w:r>
              <w:t>View</w:t>
            </w:r>
          </w:p>
        </w:tc>
        <w:tc>
          <w:tcPr>
            <w:tcW w:type="dxa" w:w="4752"/>
          </w:tcPr>
          <w:p>
            <w:r>
              <w:t>Purpose</w:t>
            </w:r>
          </w:p>
        </w:tc>
        <w:tc>
          <w:tcPr>
            <w:tcW w:type="dxa" w:w="4752"/>
          </w:tcPr>
          <w:p>
            <w:r>
              <w:t>Primary Audience</w:t>
            </w:r>
          </w:p>
        </w:tc>
      </w:tr>
      <w:tr>
        <w:tc>
          <w:tcPr>
            <w:tcW w:type="dxa" w:w="4752"/>
          </w:tcPr>
          <w:p>
            <w:r>
              <w:t>System Context</w:t>
            </w:r>
          </w:p>
        </w:tc>
        <w:tc>
          <w:tcPr>
            <w:tcW w:type="dxa" w:w="4752"/>
          </w:tcPr>
          <w:p>
            <w:r>
              <w:t>Shows users, platform boundary, and external integrations.</w:t>
            </w:r>
          </w:p>
        </w:tc>
        <w:tc>
          <w:tcPr>
            <w:tcW w:type="dxa" w:w="4752"/>
          </w:tcPr>
          <w:p>
            <w:r>
              <w:t>Executives, architects, security</w:t>
            </w:r>
          </w:p>
        </w:tc>
      </w:tr>
      <w:tr>
        <w:tc>
          <w:tcPr>
            <w:tcW w:type="dxa" w:w="4752"/>
          </w:tcPr>
          <w:p>
            <w:r>
              <w:t>Logical Architecture</w:t>
            </w:r>
          </w:p>
        </w:tc>
        <w:tc>
          <w:tcPr>
            <w:tcW w:type="dxa" w:w="4752"/>
          </w:tcPr>
          <w:p>
            <w:r>
              <w:t>Shows layered components and module responsibilities.</w:t>
            </w:r>
          </w:p>
        </w:tc>
        <w:tc>
          <w:tcPr>
            <w:tcW w:type="dxa" w:w="4752"/>
          </w:tcPr>
          <w:p>
            <w:r>
              <w:t>Architects, developers</w:t>
            </w:r>
          </w:p>
        </w:tc>
      </w:tr>
      <w:tr>
        <w:tc>
          <w:tcPr>
            <w:tcW w:type="dxa" w:w="4752"/>
          </w:tcPr>
          <w:p>
            <w:r>
              <w:t>Pipeline Sequence</w:t>
            </w:r>
          </w:p>
        </w:tc>
        <w:tc>
          <w:tcPr>
            <w:tcW w:type="dxa" w:w="4752"/>
          </w:tcPr>
          <w:p>
            <w:r>
              <w:t>Shows execution order for the full assessment flow.</w:t>
            </w:r>
          </w:p>
        </w:tc>
        <w:tc>
          <w:tcPr>
            <w:tcW w:type="dxa" w:w="4752"/>
          </w:tcPr>
          <w:p>
            <w:r>
              <w:t>Developers, operators</w:t>
            </w:r>
          </w:p>
        </w:tc>
      </w:tr>
      <w:tr>
        <w:tc>
          <w:tcPr>
            <w:tcW w:type="dxa" w:w="4752"/>
          </w:tcPr>
          <w:p>
            <w:r>
              <w:t>Data Flow Diagram</w:t>
            </w:r>
          </w:p>
        </w:tc>
        <w:tc>
          <w:tcPr>
            <w:tcW w:type="dxa" w:w="4752"/>
          </w:tcPr>
          <w:p>
            <w:r>
              <w:t>Shows data movement across processes and stores.</w:t>
            </w:r>
          </w:p>
        </w:tc>
        <w:tc>
          <w:tcPr>
            <w:tcW w:type="dxa" w:w="4752"/>
          </w:tcPr>
          <w:p>
            <w:r>
              <w:t>Security, audit, architecture</w:t>
            </w:r>
          </w:p>
        </w:tc>
      </w:tr>
      <w:tr>
        <w:tc>
          <w:tcPr>
            <w:tcW w:type="dxa" w:w="4752"/>
          </w:tcPr>
          <w:p>
            <w:r>
              <w:t>Deployment Architecture</w:t>
            </w:r>
          </w:p>
        </w:tc>
        <w:tc>
          <w:tcPr>
            <w:tcW w:type="dxa" w:w="4752"/>
          </w:tcPr>
          <w:p>
            <w:r>
              <w:t>Shows recommended enterprise deployment zones.</w:t>
            </w:r>
          </w:p>
        </w:tc>
        <w:tc>
          <w:tcPr>
            <w:tcW w:type="dxa" w:w="4752"/>
          </w:tcPr>
          <w:p>
            <w:r>
              <w:t>Infrastructure, DevOps, security</w:t>
            </w:r>
          </w:p>
        </w:tc>
      </w:tr>
    </w:tbl>
    <w:p>
      <w:r>
        <w:br w:type="page"/>
      </w:r>
    </w:p>
    <w:p>
      <w:pPr>
        <w:pStyle w:val="Heading1"/>
      </w:pPr>
      <w:r>
        <w:t>System Context Architecture</w:t>
      </w:r>
    </w:p>
    <w:p>
      <w:r>
        <w:drawing>
          <wp:inline xmlns:a="http://schemas.openxmlformats.org/drawingml/2006/main" xmlns:pic="http://schemas.openxmlformats.org/drawingml/2006/picture">
            <wp:extent cx="9692640" cy="592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92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8"/>
        </w:rPr>
        <w:t>Figure 1. System Context Architecture</w:t>
      </w:r>
    </w:p>
    <w:p>
      <w:r>
        <w:br w:type="page"/>
      </w:r>
    </w:p>
    <w:p>
      <w:pPr>
        <w:pStyle w:val="Heading1"/>
      </w:pPr>
      <w:r>
        <w:t>Logical Component Architecture</w:t>
      </w:r>
    </w:p>
    <w:p>
      <w:r>
        <w:drawing>
          <wp:inline xmlns:a="http://schemas.openxmlformats.org/drawingml/2006/main" xmlns:pic="http://schemas.openxmlformats.org/drawingml/2006/picture">
            <wp:extent cx="9692640" cy="592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92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8"/>
        </w:rPr>
        <w:t>Figure 2. Logical Component Architecture</w:t>
      </w:r>
    </w:p>
    <w:p>
      <w:r>
        <w:br w:type="page"/>
      </w:r>
    </w:p>
    <w:p>
      <w:pPr>
        <w:pStyle w:val="Heading1"/>
      </w:pPr>
      <w:r>
        <w:t>End-to-End Pipeline Sequence</w:t>
      </w:r>
    </w:p>
    <w:p>
      <w:r>
        <w:drawing>
          <wp:inline xmlns:a="http://schemas.openxmlformats.org/drawingml/2006/main" xmlns:pic="http://schemas.openxmlformats.org/drawingml/2006/picture">
            <wp:extent cx="9692640" cy="5923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ipeline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92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8"/>
        </w:rPr>
        <w:t>Figure 3. End-to-End Pipeline Sequence</w:t>
      </w:r>
    </w:p>
    <w:p>
      <w:r>
        <w:br w:type="page"/>
      </w:r>
    </w:p>
    <w:p>
      <w:pPr>
        <w:pStyle w:val="Heading1"/>
      </w:pPr>
      <w:r>
        <w:t>Data Flow Diagram</w:t>
      </w:r>
    </w:p>
    <w:p>
      <w:r>
        <w:drawing>
          <wp:inline xmlns:a="http://schemas.openxmlformats.org/drawingml/2006/main" xmlns:pic="http://schemas.openxmlformats.org/drawingml/2006/picture">
            <wp:extent cx="9692640" cy="592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92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8"/>
        </w:rPr>
        <w:t>Figure 4. Data Flow Diagram</w:t>
      </w:r>
    </w:p>
    <w:p>
      <w:r>
        <w:br w:type="page"/>
      </w:r>
    </w:p>
    <w:p>
      <w:pPr>
        <w:pStyle w:val="Heading1"/>
      </w:pPr>
      <w:r>
        <w:t>Enterprise Deployment Architecture</w:t>
      </w:r>
    </w:p>
    <w:p>
      <w:r>
        <w:drawing>
          <wp:inline xmlns:a="http://schemas.openxmlformats.org/drawingml/2006/main" xmlns:pic="http://schemas.openxmlformats.org/drawingml/2006/picture">
            <wp:extent cx="9692640" cy="5923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ployment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92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8"/>
        </w:rPr>
        <w:t>Figure 5. Enterprise Deployment Architecture</w:t>
      </w:r>
    </w:p>
    <w:p>
      <w:r>
        <w:br w:type="page"/>
      </w:r>
    </w:p>
    <w:p>
      <w:pPr>
        <w:pStyle w:val="Heading1"/>
      </w:pPr>
      <w:r>
        <w:t>Component Responsibility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</w:tcPr>
          <w:p>
            <w:r>
              <w:t>Component</w:t>
            </w:r>
          </w:p>
        </w:tc>
        <w:tc>
          <w:tcPr>
            <w:tcW w:type="dxa" w:w="7128"/>
          </w:tcPr>
          <w:p>
            <w:r>
              <w:t>Enterprise Responsibility</w:t>
            </w:r>
          </w:p>
        </w:tc>
      </w:tr>
      <w:tr>
        <w:tc>
          <w:tcPr>
            <w:tcW w:type="dxa" w:w="7128"/>
          </w:tcPr>
          <w:p>
            <w:r>
              <w:t>Streamlit UI</w:t>
            </w:r>
          </w:p>
        </w:tc>
        <w:tc>
          <w:tcPr>
            <w:tcW w:type="dxa" w:w="7128"/>
          </w:tcPr>
          <w:p>
            <w:r>
              <w:t>Operator dashboard, report visualization, role-aware workflows.</w:t>
            </w:r>
          </w:p>
        </w:tc>
      </w:tr>
      <w:tr>
        <w:tc>
          <w:tcPr>
            <w:tcW w:type="dxa" w:w="7128"/>
          </w:tcPr>
          <w:p>
            <w:r>
              <w:t>FastMCP Server</w:t>
            </w:r>
          </w:p>
        </w:tc>
        <w:tc>
          <w:tcPr>
            <w:tcW w:type="dxa" w:w="7128"/>
          </w:tcPr>
          <w:p>
            <w:r>
              <w:t>Stable tool interface, deterministic pipeline coordination, scheduler lifecycle.</w:t>
            </w:r>
          </w:p>
        </w:tc>
      </w:tr>
      <w:tr>
        <w:tc>
          <w:tcPr>
            <w:tcW w:type="dxa" w:w="7128"/>
          </w:tcPr>
          <w:p>
            <w:r>
              <w:t>LangGraph Workflow</w:t>
            </w:r>
          </w:p>
        </w:tc>
        <w:tc>
          <w:tcPr>
            <w:tcW w:type="dxa" w:w="7128"/>
          </w:tcPr>
          <w:p>
            <w:r>
              <w:t>Least-privilege multi-agent orchestration with explicit state transitions.</w:t>
            </w:r>
          </w:p>
        </w:tc>
      </w:tr>
      <w:tr>
        <w:tc>
          <w:tcPr>
            <w:tcW w:type="dxa" w:w="7128"/>
          </w:tcPr>
          <w:p>
            <w:r>
              <w:t>Core Services</w:t>
            </w:r>
          </w:p>
        </w:tc>
        <w:tc>
          <w:tcPr>
            <w:tcW w:type="dxa" w:w="7128"/>
          </w:tcPr>
          <w:p>
            <w:r>
              <w:t>Version discovery, comparison, security assessment, reporting, notification.</w:t>
            </w:r>
          </w:p>
        </w:tc>
      </w:tr>
      <w:tr>
        <w:tc>
          <w:tcPr>
            <w:tcW w:type="dxa" w:w="7128"/>
          </w:tcPr>
          <w:p>
            <w:r>
              <w:t>SQLite / Reports / Cache</w:t>
            </w:r>
          </w:p>
        </w:tc>
        <w:tc>
          <w:tcPr>
            <w:tcW w:type="dxa" w:w="7128"/>
          </w:tcPr>
          <w:p>
            <w:r>
              <w:t>Audit memory, generated artifacts, provider result reuse.</w:t>
            </w:r>
          </w:p>
        </w:tc>
      </w:tr>
      <w:tr>
        <w:tc>
          <w:tcPr>
            <w:tcW w:type="dxa" w:w="7128"/>
          </w:tcPr>
          <w:p>
            <w:r>
              <w:t>External Integrations</w:t>
            </w:r>
          </w:p>
        </w:tc>
        <w:tc>
          <w:tcPr>
            <w:tcW w:type="dxa" w:w="7128"/>
          </w:tcPr>
          <w:p>
            <w:r>
              <w:t>OpenAI, Tavily, NVD, enterprise servers, and SMTP relay.</w:t>
            </w:r>
          </w:p>
        </w:tc>
      </w:tr>
    </w:tbl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