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and after comparison</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according </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Success Rate (0.972)</w:t>
        <w:br w:type="textWrapping"/>
        <w:t xml:space="preserve"> This measures how many calls were handled correctly from start to end. About 97.2% of calls were processed correctly, meaning the system understood the situation and dispatched the right response.</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(0.972)</w:t>
        <w:br w:type="textWrapping"/>
        <w:t xml:space="preserve"> This shows how often the system correctly identified the emergency type and required service. In your case, accuracy is the same as task success because correct understanding leads directly to correct dispatch.</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Latency ( 400ms)</w:t>
        <w:br w:type="textWrapping"/>
        <w:t xml:space="preserve"> This is the time taken by the system to process input and reply a response. A latency 400 ms indicates fast, near-real-time performance.</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Response Time (8.95 seconds)</w:t>
        <w:br w:type="textWrapping"/>
        <w:t xml:space="preserve"> This is the total time from receiving a call to completing the response decision. It includes waiting time and system processing, not just AI speed.</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(0.952)</w:t>
        <w:br w:type="textWrapping"/>
        <w:t xml:space="preserve"> This measures how well the system performs with noisy or unclear input. A value of 95.2% shows the system remains reliable even when input quality is not ideal.</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(0.972)</w:t>
        <w:br w:type="textWrapping"/>
        <w:t xml:space="preserve"> This indicates how stable the system is when given the same input multiple times. A value of 97.2% means the system produces similar outputs consistently.</w:t>
      </w:r>
    </w:p>
    <w:p w:rsidR="00000000" w:rsidDel="00000000" w:rsidP="00000000" w:rsidRDefault="00000000" w:rsidRPr="00000000" w14:paraId="0000000A">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8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https://pmc.ncbi.nlm.nih.gov/articles/PMC8434918/</w:t>
        </w:r>
      </w:hyperlink>
      <w:r w:rsidDel="00000000" w:rsidR="00000000" w:rsidRPr="00000000">
        <w:rPr>
          <w:rFonts w:ascii="Times New Roman" w:cs="Times New Roman" w:eastAsia="Times New Roman" w:hAnsi="Times New Roman"/>
          <w:sz w:val="24"/>
          <w:szCs w:val="24"/>
          <w:rtl w:val="0"/>
        </w:rPr>
        <w:t xml:space="preserve"> –calls volume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mc.ncbi.nlm.nih.gov/articles/PMC84349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IuN78Dqd9Td8AycRdwM2O0oWw==">CgMxLjA4AHIhMUtpTkUya21WM1ZqdERvaHdMeDlQY0ZVM3Z1dUozdGo3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