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APPENDIX: GLOSSARY OF TERMS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DEBF7"/>
          </w:tcPr>
          <w:p>
            <w:r>
              <w:rPr>
                <w:rFonts w:ascii="Times New Roman" w:hAnsi="Times New Roman"/>
                <w:b/>
              </w:rPr>
              <w:t>Term</w:t>
            </w:r>
          </w:p>
        </w:tc>
        <w:tc>
          <w:tcPr>
            <w:tcW w:type="dxa" w:w="4320"/>
            <w:shd w:fill="DDEBF7"/>
          </w:tcPr>
          <w:p>
            <w:r>
              <w:rPr>
                <w:rFonts w:ascii="Times New Roman" w:hAnsi="Times New Roman"/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MediaPipe Face Mesh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state-of-the-art real-time face landmark detection framework for monitoring student engagement.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WebRTC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Web Real-Time Communication: a protocol enabling peer-to-peer audio and video communication in the browser.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RAG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Retrieval-Augmented Generation: an AI methodology that retrieves course data to generate accurate summaries.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Pinecone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cloud-native vector database optimized for storing and querying high-dimensional AI embeddings.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Gemini LLM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Google’s high-performance multimodal large language model used for intelligent chatbot interactions.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FastAPI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modern Python web framework used for building high-concurrency asynchronous backend services.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JWT Auth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JSON Web Token: a secure, stateless standard for transmitting user authentication 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Attention Score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calculated metric quantifying student focus based on facial gaze and landmark persistence.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Focus Points (FP)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gamified reward currency awarded to students based on active learning time and participation.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EAR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Eye Aspect Ratio: a geometric calculation used to detect drowsiness or closed eyes during sessions.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Smart Study Sheets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Concise, AI-curated summaries of course modules designed for efficient revision and focus.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Socket.IO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low-latency event-driven library used for real-time signaling between meeting participants.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MongoDB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The primary document-based NoSQL database for managing users, courses, and session metadata.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Vite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lightning-fast frontend build tool that optimizes React 19 application performance and bundling.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Vector Embedding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numerical representation of text content that allows the AI to understand semantic relationships.</w:t>
            </w:r>
          </w:p>
        </w:tc>
      </w:tr>
      <w:tr>
        <w:tc>
          <w:tcPr>
            <w:tcW w:type="dxa" w:w="4320"/>
          </w:tcPr>
          <w:p>
            <w:r>
              <w:rPr>
                <w:rFonts w:ascii="Times New Roman" w:hAnsi="Times New Roman"/>
                <w:b/>
                <w:sz w:val="22"/>
              </w:rPr>
              <w:t>Peer Mesh</w:t>
            </w:r>
          </w:p>
        </w:tc>
        <w:tc>
          <w:tcPr>
            <w:tcW w:type="dxa" w:w="4320"/>
          </w:tcPr>
          <w:p>
            <w:r>
              <w:rPr>
                <w:rFonts w:ascii="Times New Roman" w:hAnsi="Times New Roman"/>
                <w:sz w:val="22"/>
              </w:rPr>
              <w:t>A WebRTC network topology where participants connect directly to each other for video streaming.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/>
          <w:b/>
          <w:sz w:val="32"/>
        </w:rPr>
        <w:t>REFERENCES</w:t>
      </w:r>
    </w:p>
    <w:p>
      <w:pPr>
        <w:pStyle w:val="ListNumber"/>
      </w:pPr>
      <w:r>
        <w:rPr>
          <w:rFonts w:ascii="Times New Roman" w:hAnsi="Times New Roman"/>
          <w:sz w:val="22"/>
        </w:rPr>
        <w:t>Grgić, S., et al. (2022) 'Deep Learning for Real-Time Facial Expression and Engagement Monitoring', IEEE Access, Vol. 10, pp. 4501-4518.</w:t>
      </w:r>
    </w:p>
    <w:p>
      <w:pPr>
        <w:pStyle w:val="ListNumber"/>
      </w:pPr>
      <w:r>
        <w:rPr>
          <w:rFonts w:ascii="Times New Roman" w:hAnsi="Times New Roman"/>
          <w:sz w:val="22"/>
        </w:rPr>
        <w:t>Luger, K. and Sellen, A. (2024) 'Designing for Engagement: The Role of AI in Synchronous Video Learning', Journal of Educational Technology, Vol. 15, No. 2, pp. 88-104.</w:t>
      </w:r>
    </w:p>
    <w:p>
      <w:pPr>
        <w:pStyle w:val="ListNumber"/>
      </w:pPr>
      <w:r>
        <w:rPr>
          <w:rFonts w:ascii="Times New Roman" w:hAnsi="Times New Roman"/>
          <w:sz w:val="22"/>
        </w:rPr>
        <w:t>Google Research (2024) 'MediaPipe Face Mesh: High-Fidelity Facial Landmark Detection on Mobile Devices', arXiv preprint arXiv:2403.09871, pp. 1-12.</w:t>
      </w:r>
    </w:p>
    <w:p>
      <w:pPr>
        <w:pStyle w:val="ListNumber"/>
      </w:pPr>
      <w:r>
        <w:rPr>
          <w:rFonts w:ascii="Times New Roman" w:hAnsi="Times New Roman"/>
          <w:sz w:val="22"/>
        </w:rPr>
        <w:t>Vaswani, A., et al. (2017) 'Attention Is All You Need', Advances in Neural Information Processing Systems, pp. 5998–6008.</w:t>
      </w:r>
    </w:p>
    <w:p>
      <w:pPr>
        <w:pStyle w:val="ListNumber"/>
      </w:pPr>
      <w:r>
        <w:rPr>
          <w:rFonts w:ascii="Times New Roman" w:hAnsi="Times New Roman"/>
          <w:sz w:val="22"/>
        </w:rPr>
        <w:t>Lewis, P., et al. (2023) 'Retrieval-Augmented Generation for Knowledge-Intensive NLP Tasks', Advances in Neural Information Processing Systems (NeurIPS), pp. 1–15.</w:t>
      </w:r>
    </w:p>
    <w:p>
      <w:pPr>
        <w:pStyle w:val="ListNumber"/>
      </w:pPr>
      <w:r>
        <w:rPr>
          <w:rFonts w:ascii="Times New Roman" w:hAnsi="Times New Roman"/>
          <w:sz w:val="22"/>
        </w:rPr>
        <w:t>Loreto, P. and Marino, G. (2024) 'WebRTC: The New Frontier of Scalable Real-Time Communication', Computer Communications, Vol. 198, pp. 22-38.</w:t>
      </w:r>
    </w:p>
    <w:p>
      <w:pPr>
        <w:pStyle w:val="ListNumber"/>
      </w:pPr>
      <w:r>
        <w:rPr>
          <w:rFonts w:ascii="Times New Roman" w:hAnsi="Times New Roman"/>
          <w:sz w:val="22"/>
        </w:rPr>
        <w:t>Hamari, J., et al. (2022) 'Does Gamification Work? — A Literature Review of Empirical Studies on Gamification', HICSS, pp. 3025-3034.</w:t>
      </w:r>
    </w:p>
    <w:p>
      <w:pPr>
        <w:pStyle w:val="ListNumber"/>
      </w:pPr>
      <w:r>
        <w:rPr>
          <w:rFonts w:ascii="Times New Roman" w:hAnsi="Times New Roman"/>
          <w:sz w:val="22"/>
        </w:rPr>
        <w:t>Tiago, O., et al. (2024) 'Building High-Performance APIs with FastAPI and Python 3.12', Python Software Foundation Journal, Vol. 5, No. 1, pp. 12-29.</w:t>
      </w:r>
    </w:p>
    <w:p>
      <w:pPr>
        <w:pStyle w:val="ListNumber"/>
      </w:pPr>
      <w:r>
        <w:rPr>
          <w:rFonts w:ascii="Times New Roman" w:hAnsi="Times New Roman"/>
          <w:sz w:val="22"/>
        </w:rPr>
        <w:t>Microsoft Research (2024) 'A Study on Student Attention Span in Virtual Learning Environments', Educational Psychology Review, Vol. 36, No. 3, pp. 445-467.</w:t>
      </w:r>
    </w:p>
    <w:p>
      <w:pPr>
        <w:pStyle w:val="ListNumber"/>
      </w:pPr>
      <w:r>
        <w:rPr>
          <w:rFonts w:ascii="Times New Roman" w:hAnsi="Times New Roman"/>
          <w:sz w:val="22"/>
        </w:rPr>
        <w:t>Pinecone Tech (2024) 'Vector Databases: Scaling AI Search for Global Learning Platforms', Vector Engineering Journal, Vol. 2, pp. 88-102.</w:t>
      </w:r>
    </w:p>
    <w:p>
      <w:pPr>
        <w:pStyle w:val="ListNumber"/>
      </w:pPr>
      <w:r>
        <w:rPr>
          <w:rFonts w:ascii="Times New Roman" w:hAnsi="Times New Roman"/>
          <w:sz w:val="22"/>
        </w:rPr>
        <w:t>OpenAI Research (2023) 'Evaluating Large Language Models for Educational Tutoring', Journal of AI Education, Vol. 12, pp. 1-25.</w:t>
      </w:r>
    </w:p>
    <w:p>
      <w:pPr>
        <w:pStyle w:val="ListNumber"/>
      </w:pPr>
      <w:r>
        <w:rPr>
          <w:rFonts w:ascii="Times New Roman" w:hAnsi="Times New Roman"/>
          <w:sz w:val="22"/>
        </w:rPr>
        <w:t>Mozilla Foundation (2024) 'The State of WebRTC in 2024: Stability and Peer-Mesh Networking', Web Platform Review, Vol. 8, pp. 55-72.</w:t>
      </w:r>
    </w:p>
    <w:p>
      <w:pPr>
        <w:pStyle w:val="ListNumber"/>
      </w:pPr>
      <w:r>
        <w:rPr>
          <w:rFonts w:ascii="Times New Roman" w:hAnsi="Times New Roman"/>
          <w:sz w:val="22"/>
        </w:rPr>
        <w:t>Suresh, A. (2024) 'Internixa: An Intelligent Full-Stack Framework for Augmented Learning', Project Technical Documentation, pp. 1-120.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