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line="360" w:lineRule="exact"/>
        <w:jc w:val="center"/>
      </w:pPr>
      <w:r>
        <w:rPr>
          <w:rFonts w:ascii="Times New Roman" w:hAnsi="Times New Roman"/>
          <w:b/>
          <w:i w:val="0"/>
          <w:sz w:val="28"/>
        </w:rPr>
        <w:t>DEPARTMENT OF COMPUTER SCIENCE AND ENGINEERING</w:t>
      </w:r>
    </w:p>
    <w:p>
      <w:pPr>
        <w:spacing w:before="80" w:after="800" w:line="360" w:lineRule="exact"/>
        <w:jc w:val="center"/>
      </w:pPr>
      <w:r>
        <w:rPr>
          <w:rFonts w:ascii="Times New Roman" w:hAnsi="Times New Roman"/>
          <w:b w:val="0"/>
          <w:i w:val="0"/>
          <w:sz w:val="24"/>
        </w:rPr>
        <w:t>Final Year Project Report</w:t>
      </w:r>
    </w:p>
    <w:p>
      <w:pPr>
        <w:spacing w:before="200" w:after="160" w:line="360" w:lineRule="exact"/>
        <w:jc w:val="center"/>
      </w:pPr>
      <w:r>
        <w:rPr>
          <w:rFonts w:ascii="Times New Roman" w:hAnsi="Times New Roman"/>
          <w:b/>
          <w:i w:val="0"/>
          <w:color w:val="4F46E5"/>
          <w:sz w:val="40"/>
        </w:rPr>
        <w:t>INTERNIXA</w:t>
      </w:r>
    </w:p>
    <w:p>
      <w:pPr>
        <w:spacing w:before="80" w:after="800" w:line="360" w:lineRule="exact"/>
        <w:jc w:val="center"/>
      </w:pPr>
      <w:r>
        <w:rPr>
          <w:rFonts w:ascii="Times New Roman" w:hAnsi="Times New Roman"/>
          <w:b/>
          <w:i w:val="0"/>
          <w:sz w:val="28"/>
        </w:rPr>
        <w:t>AN AI-MONITORED E-LEARNING ECOSYSTEM WITH REAL-TIME</w:t>
        <w:br/>
        <w:t>ENGAGEMENT INTELLIGENCE AND GENERATIVE AI ASSISTANCE</w:t>
      </w:r>
    </w:p>
    <w:p>
      <w:pPr>
        <w:spacing w:before="600" w:after="160" w:line="360" w:lineRule="exact"/>
        <w:jc w:val="center"/>
      </w:pPr>
      <w:r>
        <w:rPr>
          <w:rFonts w:ascii="Times New Roman" w:hAnsi="Times New Roman"/>
          <w:b w:val="0"/>
          <w:i w:val="0"/>
          <w:sz w:val="24"/>
        </w:rPr>
        <w:t>Submitted by</w:t>
      </w:r>
    </w:p>
    <w:p>
      <w:pPr>
        <w:spacing w:before="40" w:after="40" w:line="360" w:lineRule="exact"/>
        <w:jc w:val="center"/>
      </w:pPr>
      <w:r>
        <w:rPr>
          <w:rFonts w:ascii="Times New Roman" w:hAnsi="Times New Roman"/>
          <w:b/>
          <w:i w:val="0"/>
          <w:sz w:val="24"/>
        </w:rPr>
        <w:t>[STUDENT NAME 1]</w:t>
      </w:r>
    </w:p>
    <w:p>
      <w:pPr>
        <w:spacing w:before="40" w:after="40" w:line="360" w:lineRule="exact"/>
        <w:jc w:val="center"/>
      </w:pPr>
      <w:r>
        <w:rPr>
          <w:rFonts w:ascii="Times New Roman" w:hAnsi="Times New Roman"/>
          <w:b/>
          <w:i w:val="0"/>
          <w:sz w:val="24"/>
        </w:rPr>
        <w:t>[STUDENT NAME 2]</w:t>
      </w:r>
    </w:p>
    <w:p>
      <w:pPr>
        <w:spacing w:before="40" w:after="40" w:line="360" w:lineRule="exact"/>
        <w:jc w:val="center"/>
      </w:pPr>
      <w:r>
        <w:rPr>
          <w:rFonts w:ascii="Times New Roman" w:hAnsi="Times New Roman"/>
          <w:b/>
          <w:i w:val="0"/>
          <w:sz w:val="24"/>
        </w:rPr>
        <w:t>[STUDENT NAME 3]</w:t>
      </w:r>
    </w:p>
    <w:p>
      <w:pPr>
        <w:spacing w:before="40" w:after="40" w:line="360" w:lineRule="exact"/>
        <w:jc w:val="center"/>
      </w:pPr>
      <w:r>
        <w:rPr>
          <w:rFonts w:ascii="Times New Roman" w:hAnsi="Times New Roman"/>
          <w:b/>
          <w:i w:val="0"/>
          <w:sz w:val="24"/>
        </w:rPr>
        <w:t>[STUDENT NAME 4]</w:t>
      </w:r>
    </w:p>
    <w:p>
      <w:pPr>
        <w:spacing w:before="400" w:after="80" w:line="360" w:lineRule="exact"/>
        <w:jc w:val="center"/>
      </w:pPr>
      <w:r>
        <w:rPr>
          <w:rFonts w:ascii="Times New Roman" w:hAnsi="Times New Roman"/>
          <w:b w:val="0"/>
          <w:i w:val="0"/>
          <w:sz w:val="24"/>
        </w:rPr>
        <w:t>Academic Year: 2025–2026</w:t>
      </w:r>
    </w:p>
    <w:p>
      <w:pPr>
        <w:spacing w:before="0" w:after="120" w:line="360" w:lineRule="exact"/>
        <w:jc w:val="center"/>
      </w:pPr>
      <w:r>
        <w:rPr>
          <w:rFonts w:ascii="Times New Roman" w:hAnsi="Times New Roman"/>
          <w:b w:val="0"/>
          <w:i w:val="0"/>
          <w:sz w:val="24"/>
        </w:rPr>
        <w:t>Degree: Bachelor of Engineering – Computer Science and Engineering</w:t>
      </w:r>
    </w:p>
    <w:p>
      <w:r>
        <w:br w:type="page"/>
      </w:r>
    </w:p>
    <w:p>
      <w:pPr>
        <w:spacing w:before="800" w:after="400" w:line="360" w:lineRule="exact"/>
        <w:jc w:val="center"/>
      </w:pPr>
      <w:r>
        <w:rPr>
          <w:rFonts w:ascii="Times New Roman" w:hAnsi="Times New Roman"/>
          <w:b/>
          <w:i w:val="0"/>
          <w:sz w:val="28"/>
        </w:rPr>
        <w:t>BONAFIDE CERTIFICATE</w:t>
      </w:r>
    </w:p>
    <w:p>
      <w:pPr>
        <w:spacing w:before="0" w:after="120" w:line="360" w:lineRule="exact"/>
        <w:jc w:val="both"/>
      </w:pPr>
      <w:r>
        <w:rPr>
          <w:rFonts w:ascii="Times New Roman" w:hAnsi="Times New Roman"/>
          <w:b w:val="0"/>
          <w:i w:val="0"/>
          <w:sz w:val="24"/>
        </w:rPr>
        <w:t>This is to certify that the project entitled INTERNIXA: AN AI-MONITORED E-LEARNING ECOSYSTEM WITH REAL-TIME ENGAGEMENT INTELLIGENCE AND GENERATIVE AI ASSISTANCE is a bonafide record of work done by the above-mentioned students of the Department of Computer Science and Engineering in partial fulfilment of the requirements for the award of the degree of Bachelor of Engineering in Computer Science and Engineering during the academic year 2025–2026.</w:t>
      </w:r>
    </w:p>
    <w:p>
      <w:pPr>
        <w:spacing w:before="800" w:after="120" w:line="360" w:lineRule="exact"/>
        <w:jc w:val="left"/>
      </w:pPr>
      <w:r>
        <w:rPr>
          <w:rFonts w:ascii="Times New Roman" w:hAnsi="Times New Roman"/>
          <w:b w:val="0"/>
          <w:i w:val="0"/>
          <w:sz w:val="24"/>
        </w:rPr>
        <w:br/>
        <w:br/>
        <w:t>Guide: [GUIDE NAME]                                HOD: [HOD NAME]</w:t>
      </w:r>
    </w:p>
    <w:p>
      <w:pPr>
        <w:spacing w:before="0" w:after="120" w:line="360" w:lineRule="exact"/>
        <w:jc w:val="left"/>
      </w:pPr>
      <w:r>
        <w:rPr>
          <w:rFonts w:ascii="Times New Roman" w:hAnsi="Times New Roman"/>
          <w:b w:val="0"/>
          <w:i w:val="0"/>
          <w:sz w:val="24"/>
        </w:rPr>
        <w:t>Designation: Assistant Professor                   Head of Department</w:t>
      </w:r>
    </w:p>
    <w:p>
      <w:r>
        <w:br w:type="page"/>
      </w:r>
    </w:p>
    <w:p>
      <w:pPr>
        <w:spacing w:before="800" w:after="400" w:line="360" w:lineRule="exact"/>
        <w:jc w:val="center"/>
      </w:pPr>
      <w:r>
        <w:rPr>
          <w:rFonts w:ascii="Times New Roman" w:hAnsi="Times New Roman"/>
          <w:b/>
          <w:i w:val="0"/>
          <w:sz w:val="28"/>
        </w:rPr>
        <w:t>DECLARATION</w:t>
      </w:r>
    </w:p>
    <w:p>
      <w:pPr>
        <w:spacing w:before="0" w:after="120" w:line="360" w:lineRule="exact"/>
        <w:jc w:val="both"/>
      </w:pPr>
      <w:r>
        <w:rPr>
          <w:rFonts w:ascii="Times New Roman" w:hAnsi="Times New Roman"/>
          <w:b w:val="0"/>
          <w:i w:val="0"/>
          <w:sz w:val="24"/>
        </w:rPr>
        <w:t>We hereby declare that the project work entitled INTERNIXA: AN AI-MONITORED E-LEARNING ECOSYSTEM WITH REAL-TIME ENGAGEMENT INTELLIGENCE AND GENERATIVE AI ASSISTANCE submitted to the Department of Computer Science and Engineering is a record of original work done by us under the guidance of [GUIDE NAME]. This project work has not been submitted previously for the award of any degree or diploma.</w:t>
      </w:r>
    </w:p>
    <w:p>
      <w:pPr>
        <w:spacing w:before="600" w:after="120" w:line="360" w:lineRule="exact"/>
        <w:jc w:val="left"/>
      </w:pPr>
      <w:r>
        <w:rPr>
          <w:rFonts w:ascii="Times New Roman" w:hAnsi="Times New Roman"/>
          <w:b w:val="0"/>
          <w:i w:val="0"/>
          <w:sz w:val="24"/>
        </w:rPr>
        <w:br/>
        <w:br/>
        <w:t>Signatures:</w:t>
      </w:r>
    </w:p>
    <w:p>
      <w:pPr>
        <w:spacing w:before="160" w:after="120" w:line="360" w:lineRule="exact"/>
        <w:jc w:val="left"/>
      </w:pPr>
      <w:r>
        <w:rPr>
          <w:rFonts w:ascii="Times New Roman" w:hAnsi="Times New Roman"/>
          <w:b w:val="0"/>
          <w:i w:val="0"/>
          <w:sz w:val="24"/>
        </w:rPr>
        <w:t>[STUDENT NAME 1]</w:t>
      </w:r>
    </w:p>
    <w:p>
      <w:pPr>
        <w:spacing w:before="160" w:after="120" w:line="360" w:lineRule="exact"/>
        <w:jc w:val="left"/>
      </w:pPr>
      <w:r>
        <w:rPr>
          <w:rFonts w:ascii="Times New Roman" w:hAnsi="Times New Roman"/>
          <w:b w:val="0"/>
          <w:i w:val="0"/>
          <w:sz w:val="24"/>
        </w:rPr>
        <w:t>[STUDENT NAME 2]</w:t>
      </w:r>
    </w:p>
    <w:p>
      <w:pPr>
        <w:spacing w:before="160" w:after="120" w:line="360" w:lineRule="exact"/>
        <w:jc w:val="left"/>
      </w:pPr>
      <w:r>
        <w:rPr>
          <w:rFonts w:ascii="Times New Roman" w:hAnsi="Times New Roman"/>
          <w:b w:val="0"/>
          <w:i w:val="0"/>
          <w:sz w:val="24"/>
        </w:rPr>
        <w:t>[STUDENT NAME 3]</w:t>
      </w:r>
    </w:p>
    <w:p>
      <w:pPr>
        <w:spacing w:before="160" w:after="120" w:line="360" w:lineRule="exact"/>
        <w:jc w:val="left"/>
      </w:pPr>
      <w:r>
        <w:rPr>
          <w:rFonts w:ascii="Times New Roman" w:hAnsi="Times New Roman"/>
          <w:b w:val="0"/>
          <w:i w:val="0"/>
          <w:sz w:val="24"/>
        </w:rPr>
        <w:t>[STUDENT NAME 4]</w:t>
      </w:r>
    </w:p>
    <w:p>
      <w:r>
        <w:br w:type="page"/>
      </w:r>
    </w:p>
    <w:p>
      <w:pPr>
        <w:spacing w:before="800" w:after="400" w:line="360" w:lineRule="exact"/>
        <w:jc w:val="center"/>
      </w:pPr>
      <w:r>
        <w:rPr>
          <w:rFonts w:ascii="Times New Roman" w:hAnsi="Times New Roman"/>
          <w:b/>
          <w:i w:val="0"/>
          <w:sz w:val="28"/>
        </w:rPr>
        <w:t>ACKNOWLEDGEMENT</w:t>
      </w:r>
    </w:p>
    <w:p>
      <w:pPr>
        <w:spacing w:before="0" w:after="120" w:line="360" w:lineRule="exact"/>
        <w:jc w:val="both"/>
      </w:pPr>
      <w:r>
        <w:rPr>
          <w:rFonts w:ascii="Times New Roman" w:hAnsi="Times New Roman"/>
          <w:b w:val="0"/>
          <w:i w:val="0"/>
          <w:sz w:val="24"/>
        </w:rPr>
        <w:t>We express our sincere gratitude to [GUIDE NAME], our project guide, for their invaluable guidance, constant encouragement, and insightful suggestions throughout the development of this project. Their technical expertise and academic mentorship have been instrumental in shaping the direction and quality of this work.</w:t>
      </w:r>
    </w:p>
    <w:p>
      <w:pPr>
        <w:spacing w:before="0" w:after="120" w:line="360" w:lineRule="exact"/>
        <w:jc w:val="both"/>
      </w:pPr>
      <w:r>
        <w:rPr>
          <w:rFonts w:ascii="Times New Roman" w:hAnsi="Times New Roman"/>
          <w:b w:val="0"/>
          <w:i w:val="0"/>
          <w:sz w:val="24"/>
        </w:rPr>
        <w:t>We are deeply thankful to [HOD NAME], Head of the Department of Computer Science and Engineering, for providing us with the necessary resources, infrastructure, and a stimulating academic environment to carry out this project.</w:t>
      </w:r>
    </w:p>
    <w:p>
      <w:pPr>
        <w:spacing w:before="0" w:after="120" w:line="360" w:lineRule="exact"/>
        <w:jc w:val="both"/>
      </w:pPr>
      <w:r>
        <w:rPr>
          <w:rFonts w:ascii="Times New Roman" w:hAnsi="Times New Roman"/>
          <w:b w:val="0"/>
          <w:i w:val="0"/>
          <w:sz w:val="24"/>
        </w:rPr>
        <w:t>We also extend our heartfelt appreciation to the management and faculty of our institution for their continued support, and to our families and friends whose unwavering encouragement gave us the strength to persevere through the challenges of this endeavour.</w:t>
      </w:r>
    </w:p>
    <w:p>
      <w:r>
        <w:br w:type="page"/>
      </w:r>
    </w:p>
    <w:p>
      <w:pPr>
        <w:spacing w:before="800" w:after="400" w:line="360" w:lineRule="exact"/>
        <w:jc w:val="center"/>
      </w:pPr>
      <w:r>
        <w:rPr>
          <w:rFonts w:ascii="Times New Roman" w:hAnsi="Times New Roman"/>
          <w:b/>
          <w:i w:val="0"/>
          <w:sz w:val="28"/>
        </w:rPr>
        <w:t>ABSTRACT</w:t>
      </w:r>
    </w:p>
    <w:p>
      <w:pPr>
        <w:spacing w:before="0" w:after="120" w:line="360" w:lineRule="exact"/>
        <w:jc w:val="both"/>
      </w:pPr>
      <w:r>
        <w:rPr>
          <w:rFonts w:ascii="Times New Roman" w:hAnsi="Times New Roman"/>
          <w:b w:val="0"/>
          <w:i w:val="0"/>
          <w:sz w:val="24"/>
        </w:rPr>
        <w:t>The proliferation of online learning platforms has revolutionized access to education; however, it has simultaneously introduced a critical accountability gap. The "Background Video" problem — wherein students play educational content without actively engaging with it — renders conventional e-learning platforms fundamentally ineffective. Internixa is a full-stack, AI-augmented e-learning ecosystem engineered specifically to resolve this challenge by enforcing genuine, verified engagement at every stage of the learning process.</w:t>
      </w:r>
    </w:p>
    <w:p>
      <w:pPr>
        <w:spacing w:before="0" w:after="120" w:line="360" w:lineRule="exact"/>
        <w:jc w:val="both"/>
      </w:pPr>
      <w:r>
        <w:rPr>
          <w:rFonts w:ascii="Times New Roman" w:hAnsi="Times New Roman"/>
          <w:b w:val="0"/>
          <w:i w:val="0"/>
          <w:sz w:val="24"/>
        </w:rPr>
        <w:t>The platform's core innovation lies in its browser-native Artificial Intelligence monitoring layer, implemented using Google's MediaPipe Face Mesh library. This module processes the student's live camera feed at 30 frames per second, extracting 468 three-dimensional facial landmarks. The Eye Aspect Ratio (EAR) formula — computed from key eyelid landmark distances — detects blink events and prolonged eye closure. Simultaneously, a gaze deviation algorithm calculates the horizontal displacement of the nose tip relative to the eye midpoint to determine if the student's attention has drifted away from the screen. When distraction is confirmed for three or more consecutive frames, the course video pauses automatically; it resumes only when active attention is restored.</w:t>
      </w:r>
    </w:p>
    <w:p>
      <w:pPr>
        <w:spacing w:before="0" w:after="120" w:line="360" w:lineRule="exact"/>
        <w:jc w:val="both"/>
      </w:pPr>
      <w:r>
        <w:rPr>
          <w:rFonts w:ascii="Times New Roman" w:hAnsi="Times New Roman"/>
          <w:b w:val="0"/>
          <w:i w:val="0"/>
          <w:sz w:val="24"/>
        </w:rPr>
        <w:t>Internixa also integrates a Retrieval-Augmented Generation (RAG) pipeline to deliver a context-locked AI chatbot. Course video transcripts are chunked, embedded using Google's text-embedding-004 model, and stored in a Pinecone vector database. When a student submits a query, the system retrieves the most semantically similar transcript segments and passes them as context to the Google Gemini 1.5 Flash large language model, ensuring that all AI responses are grounded exclusively in course content.</w:t>
      </w:r>
    </w:p>
    <w:p>
      <w:pPr>
        <w:spacing w:before="0" w:after="120" w:line="360" w:lineRule="exact"/>
        <w:jc w:val="both"/>
      </w:pPr>
      <w:r>
        <w:rPr>
          <w:rFonts w:ascii="Times New Roman" w:hAnsi="Times New Roman"/>
          <w:b w:val="0"/>
          <w:i w:val="0"/>
          <w:sz w:val="24"/>
        </w:rPr>
        <w:t>Additional features include live WebRTC-based video meeting rooms with a host engagement HUD powered by Socket.IO, a gamified Focus Points system with a competitive leaderboard, auto-generated PDF certificates issued only upon achieving a verified engagement score of seventy percent or higher, AI-generated Smart Study Sheets, and a dedicated Recruiter Portal for internship management. The platform is deployed on Vercel (frontend) and Railway (backend), with MongoDB serving as the primary database. Internixa demonstrates that AI monitoring, when combined with thoughtful UX design, can transform passive digital consumption into disciplined, accountable, and measurably effective learning.</w:t>
      </w:r>
    </w:p>
    <w:p>
      <w:r>
        <w:br w:type="page"/>
      </w:r>
    </w:p>
    <w:p>
      <w:pPr>
        <w:spacing w:before="400" w:after="320" w:line="360" w:lineRule="exact"/>
        <w:jc w:val="center"/>
      </w:pPr>
      <w:r>
        <w:rPr>
          <w:rFonts w:ascii="Times New Roman" w:hAnsi="Times New Roman"/>
          <w:b/>
          <w:i w:val="0"/>
          <w:sz w:val="28"/>
        </w:rPr>
        <w:t>TABLE OF CONTENTS</w:t>
      </w:r>
    </w:p>
    <w:p>
      <w:pPr>
        <w:tabs>
          <w:tab w:pos="8220" w:val="left"/>
        </w:tabs>
        <w:spacing w:after="60"/>
      </w:pPr>
      <w:r>
        <w:rPr>
          <w:rFonts w:ascii="Times New Roman" w:hAnsi="Times New Roman"/>
          <w:sz w:val="22"/>
        </w:rPr>
        <w:t>Abstract</w:t>
        <w:tab/>
        <w:t>iv</w:t>
      </w:r>
    </w:p>
    <w:p>
      <w:pPr>
        <w:tabs>
          <w:tab w:pos="8220" w:val="left"/>
        </w:tabs>
        <w:spacing w:after="60"/>
      </w:pPr>
      <w:r>
        <w:rPr>
          <w:rFonts w:ascii="Times New Roman" w:hAnsi="Times New Roman"/>
          <w:sz w:val="22"/>
        </w:rPr>
        <w:t>List of Figures</w:t>
        <w:tab/>
        <w:t>vi</w:t>
      </w:r>
    </w:p>
    <w:p>
      <w:pPr>
        <w:tabs>
          <w:tab w:pos="8220" w:val="left"/>
        </w:tabs>
        <w:spacing w:after="60"/>
      </w:pPr>
      <w:r>
        <w:rPr>
          <w:rFonts w:ascii="Times New Roman" w:hAnsi="Times New Roman"/>
          <w:sz w:val="22"/>
        </w:rPr>
        <w:t>List of Tables</w:t>
        <w:tab/>
        <w:t>vii</w:t>
      </w:r>
    </w:p>
    <w:p>
      <w:pPr>
        <w:tabs>
          <w:tab w:pos="8220" w:val="left"/>
        </w:tabs>
        <w:spacing w:after="60"/>
      </w:pPr>
      <w:r>
        <w:rPr>
          <w:rFonts w:ascii="Times New Roman" w:hAnsi="Times New Roman"/>
          <w:sz w:val="22"/>
        </w:rPr>
        <w:t>List of Abbreviations</w:t>
        <w:tab/>
        <w:t>viii</w:t>
      </w:r>
    </w:p>
    <w:p>
      <w:pPr>
        <w:tabs>
          <w:tab w:pos="8220" w:val="left"/>
        </w:tabs>
        <w:spacing w:after="60"/>
      </w:pPr>
      <w:r>
        <w:rPr>
          <w:rFonts w:ascii="Times New Roman" w:hAnsi="Times New Roman"/>
          <w:b/>
          <w:sz w:val="22"/>
        </w:rPr>
        <w:t>CHAPTER 1 – INTRODUCTION</w:t>
        <w:tab/>
        <w:t>1</w:t>
      </w:r>
    </w:p>
    <w:p>
      <w:pPr>
        <w:tabs>
          <w:tab w:pos="8220" w:val="left"/>
        </w:tabs>
        <w:spacing w:after="60"/>
      </w:pPr>
      <w:r>
        <w:rPr>
          <w:rFonts w:ascii="Times New Roman" w:hAnsi="Times New Roman"/>
          <w:sz w:val="22"/>
        </w:rPr>
        <w:t xml:space="preserve">  1.1  Background</w:t>
        <w:tab/>
        <w:t>2</w:t>
      </w:r>
    </w:p>
    <w:p>
      <w:pPr>
        <w:tabs>
          <w:tab w:pos="8220" w:val="left"/>
        </w:tabs>
        <w:spacing w:after="60"/>
      </w:pPr>
      <w:r>
        <w:rPr>
          <w:rFonts w:ascii="Times New Roman" w:hAnsi="Times New Roman"/>
          <w:sz w:val="22"/>
        </w:rPr>
        <w:t xml:space="preserve">  1.2  Problem Statement</w:t>
        <w:tab/>
        <w:t>4</w:t>
      </w:r>
    </w:p>
    <w:p>
      <w:pPr>
        <w:tabs>
          <w:tab w:pos="8220" w:val="left"/>
        </w:tabs>
        <w:spacing w:after="60"/>
      </w:pPr>
      <w:r>
        <w:rPr>
          <w:rFonts w:ascii="Times New Roman" w:hAnsi="Times New Roman"/>
          <w:sz w:val="22"/>
        </w:rPr>
        <w:t xml:space="preserve">  1.3  Objectives</w:t>
        <w:tab/>
        <w:t>6</w:t>
      </w:r>
    </w:p>
    <w:p>
      <w:pPr>
        <w:tabs>
          <w:tab w:pos="8220" w:val="left"/>
        </w:tabs>
        <w:spacing w:after="60"/>
      </w:pPr>
      <w:r>
        <w:rPr>
          <w:rFonts w:ascii="Times New Roman" w:hAnsi="Times New Roman"/>
          <w:b/>
          <w:sz w:val="22"/>
        </w:rPr>
        <w:t>CHAPTER 2 – LITERATURE REVIEW</w:t>
        <w:tab/>
        <w:t>8</w:t>
      </w:r>
    </w:p>
    <w:p>
      <w:pPr>
        <w:tabs>
          <w:tab w:pos="8220" w:val="left"/>
        </w:tabs>
        <w:spacing w:after="60"/>
      </w:pPr>
      <w:r>
        <w:rPr>
          <w:rFonts w:ascii="Times New Roman" w:hAnsi="Times New Roman"/>
          <w:sz w:val="22"/>
        </w:rPr>
        <w:t xml:space="preserve">  2.1  Introduction</w:t>
        <w:tab/>
        <w:t>8</w:t>
      </w:r>
    </w:p>
    <w:p>
      <w:pPr>
        <w:tabs>
          <w:tab w:pos="8220" w:val="left"/>
        </w:tabs>
        <w:spacing w:after="60"/>
      </w:pPr>
      <w:r>
        <w:rPr>
          <w:rFonts w:ascii="Times New Roman" w:hAnsi="Times New Roman"/>
          <w:sz w:val="22"/>
        </w:rPr>
        <w:t xml:space="preserve">  2.2  Review of Existing Work</w:t>
        <w:tab/>
        <w:t>9</w:t>
      </w:r>
    </w:p>
    <w:p>
      <w:pPr>
        <w:tabs>
          <w:tab w:pos="8220" w:val="left"/>
        </w:tabs>
        <w:spacing w:after="60"/>
      </w:pPr>
      <w:r>
        <w:rPr>
          <w:rFonts w:ascii="Times New Roman" w:hAnsi="Times New Roman"/>
          <w:sz w:val="22"/>
        </w:rPr>
        <w:t xml:space="preserve">  2.3  Comparative Analysis</w:t>
        <w:tab/>
        <w:t>14</w:t>
      </w:r>
    </w:p>
    <w:p>
      <w:pPr>
        <w:tabs>
          <w:tab w:pos="8220" w:val="left"/>
        </w:tabs>
        <w:spacing w:after="60"/>
      </w:pPr>
      <w:r>
        <w:rPr>
          <w:rFonts w:ascii="Times New Roman" w:hAnsi="Times New Roman"/>
          <w:b/>
          <w:sz w:val="22"/>
        </w:rPr>
        <w:t>CHAPTER 3 – PROPOSED SYSTEM</w:t>
        <w:tab/>
        <w:t>16</w:t>
      </w:r>
    </w:p>
    <w:p>
      <w:pPr>
        <w:tabs>
          <w:tab w:pos="8220" w:val="left"/>
        </w:tabs>
        <w:spacing w:after="60"/>
      </w:pPr>
      <w:r>
        <w:rPr>
          <w:rFonts w:ascii="Times New Roman" w:hAnsi="Times New Roman"/>
          <w:sz w:val="22"/>
        </w:rPr>
        <w:t xml:space="preserve">  3.1  Existing System</w:t>
        <w:tab/>
        <w:t>16</w:t>
      </w:r>
    </w:p>
    <w:p>
      <w:pPr>
        <w:tabs>
          <w:tab w:pos="8220" w:val="left"/>
        </w:tabs>
        <w:spacing w:after="60"/>
      </w:pPr>
      <w:r>
        <w:rPr>
          <w:rFonts w:ascii="Times New Roman" w:hAnsi="Times New Roman"/>
          <w:sz w:val="22"/>
        </w:rPr>
        <w:t xml:space="preserve">  3.2  Proposed System</w:t>
        <w:tab/>
        <w:t>18</w:t>
      </w:r>
    </w:p>
    <w:p>
      <w:pPr>
        <w:tabs>
          <w:tab w:pos="8220" w:val="left"/>
        </w:tabs>
        <w:spacing w:after="60"/>
      </w:pPr>
      <w:r>
        <w:rPr>
          <w:rFonts w:ascii="Times New Roman" w:hAnsi="Times New Roman"/>
          <w:sz w:val="22"/>
        </w:rPr>
        <w:t xml:space="preserve">  3.3  System Architecture</w:t>
        <w:tab/>
        <w:t>20</w:t>
      </w:r>
    </w:p>
    <w:p>
      <w:pPr>
        <w:tabs>
          <w:tab w:pos="8220" w:val="left"/>
        </w:tabs>
        <w:spacing w:after="60"/>
      </w:pPr>
      <w:r>
        <w:rPr>
          <w:rFonts w:ascii="Times New Roman" w:hAnsi="Times New Roman"/>
          <w:sz w:val="22"/>
        </w:rPr>
        <w:t xml:space="preserve">  3.4  Methodology / Algorithm</w:t>
        <w:tab/>
        <w:t>24</w:t>
      </w:r>
    </w:p>
    <w:p>
      <w:pPr>
        <w:tabs>
          <w:tab w:pos="8220" w:val="left"/>
        </w:tabs>
        <w:spacing w:after="60"/>
      </w:pPr>
      <w:r>
        <w:rPr>
          <w:rFonts w:ascii="Times New Roman" w:hAnsi="Times New Roman"/>
          <w:sz w:val="22"/>
        </w:rPr>
        <w:t xml:space="preserve">  3.5  Module Description</w:t>
        <w:tab/>
        <w:t>30</w:t>
      </w:r>
    </w:p>
    <w:p>
      <w:pPr>
        <w:tabs>
          <w:tab w:pos="8220" w:val="left"/>
        </w:tabs>
        <w:spacing w:after="60"/>
      </w:pPr>
      <w:r>
        <w:rPr>
          <w:rFonts w:ascii="Times New Roman" w:hAnsi="Times New Roman"/>
          <w:b/>
          <w:sz w:val="22"/>
        </w:rPr>
        <w:t>CHAPTER 4 – IMPLEMENTATION &amp; RESULTS</w:t>
        <w:tab/>
        <w:t>36</w:t>
      </w:r>
    </w:p>
    <w:p>
      <w:pPr>
        <w:tabs>
          <w:tab w:pos="8220" w:val="left"/>
        </w:tabs>
        <w:spacing w:after="60"/>
      </w:pPr>
      <w:r>
        <w:rPr>
          <w:rFonts w:ascii="Times New Roman" w:hAnsi="Times New Roman"/>
          <w:sz w:val="22"/>
        </w:rPr>
        <w:t xml:space="preserve">  4.1  Tools &amp; Technologies Used</w:t>
        <w:tab/>
        <w:t>36</w:t>
      </w:r>
    </w:p>
    <w:p>
      <w:pPr>
        <w:tabs>
          <w:tab w:pos="8220" w:val="left"/>
        </w:tabs>
        <w:spacing w:after="60"/>
      </w:pPr>
      <w:r>
        <w:rPr>
          <w:rFonts w:ascii="Times New Roman" w:hAnsi="Times New Roman"/>
          <w:sz w:val="22"/>
        </w:rPr>
        <w:t xml:space="preserve">  4.2  System Implementation</w:t>
        <w:tab/>
        <w:t>38</w:t>
      </w:r>
    </w:p>
    <w:p>
      <w:pPr>
        <w:tabs>
          <w:tab w:pos="8220" w:val="left"/>
        </w:tabs>
        <w:spacing w:after="60"/>
      </w:pPr>
      <w:r>
        <w:rPr>
          <w:rFonts w:ascii="Times New Roman" w:hAnsi="Times New Roman"/>
          <w:sz w:val="22"/>
        </w:rPr>
        <w:t xml:space="preserve">  4.3  Working Model</w:t>
        <w:tab/>
        <w:t>40</w:t>
      </w:r>
    </w:p>
    <w:p>
      <w:pPr>
        <w:tabs>
          <w:tab w:pos="8220" w:val="left"/>
        </w:tabs>
        <w:spacing w:after="60"/>
      </w:pPr>
      <w:r>
        <w:rPr>
          <w:rFonts w:ascii="Times New Roman" w:hAnsi="Times New Roman"/>
          <w:sz w:val="22"/>
        </w:rPr>
        <w:t xml:space="preserve">  4.4  Screenshots / UI Walkthrough</w:t>
        <w:tab/>
        <w:t>42</w:t>
      </w:r>
    </w:p>
    <w:p>
      <w:pPr>
        <w:tabs>
          <w:tab w:pos="8220" w:val="left"/>
        </w:tabs>
        <w:spacing w:after="60"/>
      </w:pPr>
      <w:r>
        <w:rPr>
          <w:rFonts w:ascii="Times New Roman" w:hAnsi="Times New Roman"/>
          <w:sz w:val="22"/>
        </w:rPr>
        <w:t xml:space="preserve">  4.5  Results &amp; Outputs</w:t>
        <w:tab/>
        <w:t>48</w:t>
      </w:r>
    </w:p>
    <w:p>
      <w:pPr>
        <w:tabs>
          <w:tab w:pos="8220" w:val="left"/>
        </w:tabs>
        <w:spacing w:after="60"/>
      </w:pPr>
      <w:r>
        <w:rPr>
          <w:rFonts w:ascii="Times New Roman" w:hAnsi="Times New Roman"/>
          <w:sz w:val="22"/>
        </w:rPr>
        <w:t xml:space="preserve">  4.6  Performance Analysis</w:t>
        <w:tab/>
        <w:t>50</w:t>
      </w:r>
    </w:p>
    <w:p>
      <w:pPr>
        <w:tabs>
          <w:tab w:pos="8220" w:val="left"/>
        </w:tabs>
        <w:spacing w:after="60"/>
      </w:pPr>
      <w:r>
        <w:rPr>
          <w:rFonts w:ascii="Times New Roman" w:hAnsi="Times New Roman"/>
          <w:b/>
          <w:sz w:val="22"/>
        </w:rPr>
        <w:t>CHAPTER 5 – CONCLUSION</w:t>
        <w:tab/>
        <w:t>52</w:t>
      </w:r>
    </w:p>
    <w:p>
      <w:pPr>
        <w:tabs>
          <w:tab w:pos="8220" w:val="left"/>
        </w:tabs>
        <w:spacing w:after="60"/>
      </w:pPr>
      <w:r>
        <w:rPr>
          <w:rFonts w:ascii="Times New Roman" w:hAnsi="Times New Roman"/>
          <w:sz w:val="22"/>
        </w:rPr>
        <w:t xml:space="preserve">  5.1  Final Outcome</w:t>
        <w:tab/>
        <w:t>52</w:t>
      </w:r>
    </w:p>
    <w:p>
      <w:pPr>
        <w:tabs>
          <w:tab w:pos="8220" w:val="left"/>
        </w:tabs>
        <w:spacing w:after="60"/>
      </w:pPr>
      <w:r>
        <w:rPr>
          <w:rFonts w:ascii="Times New Roman" w:hAnsi="Times New Roman"/>
          <w:sz w:val="22"/>
        </w:rPr>
        <w:t xml:space="preserve">  5.2  Future Enhancements</w:t>
        <w:tab/>
        <w:t>54</w:t>
      </w:r>
    </w:p>
    <w:p>
      <w:pPr>
        <w:tabs>
          <w:tab w:pos="8220" w:val="left"/>
        </w:tabs>
        <w:spacing w:after="60"/>
      </w:pPr>
      <w:r>
        <w:rPr>
          <w:rFonts w:ascii="Times New Roman" w:hAnsi="Times New Roman"/>
          <w:sz w:val="22"/>
        </w:rPr>
        <w:t>Appendices</w:t>
        <w:tab/>
        <w:t>57</w:t>
      </w:r>
    </w:p>
    <w:p>
      <w:pPr>
        <w:tabs>
          <w:tab w:pos="8220" w:val="left"/>
        </w:tabs>
        <w:spacing w:after="60"/>
      </w:pPr>
      <w:r>
        <w:rPr>
          <w:rFonts w:ascii="Times New Roman" w:hAnsi="Times New Roman"/>
          <w:sz w:val="22"/>
        </w:rPr>
        <w:t>References</w:t>
        <w:tab/>
        <w:t>61</w:t>
      </w:r>
    </w:p>
    <w:p>
      <w:r>
        <w:br w:type="page"/>
      </w:r>
    </w:p>
    <w:p>
      <w:pPr>
        <w:spacing w:before="400" w:after="240" w:line="360" w:lineRule="exact"/>
        <w:jc w:val="center"/>
      </w:pPr>
      <w:r>
        <w:rPr>
          <w:rFonts w:ascii="Times New Roman" w:hAnsi="Times New Roman"/>
          <w:b/>
          <w:i w:val="0"/>
          <w:sz w:val="28"/>
        </w:rPr>
        <w:t>LIST OF FIGURES</w:t>
      </w:r>
    </w:p>
    <w:p>
      <w:pPr>
        <w:spacing w:before="160" w:after="80" w:line="360" w:lineRule="exact"/>
        <w:jc w:val="center"/>
      </w:pP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color="auto" w:val="clear"/>
          </w:tcPr>
          <w:p>
            <w:r>
              <w:rPr>
                <w:b/>
                <w:sz w:val="20"/>
              </w:rPr>
              <w:t>Figure No.</w:t>
            </w:r>
          </w:p>
        </w:tc>
        <w:tc>
          <w:tcPr>
            <w:tcW w:type="dxa" w:w="2890"/>
            <w:shd w:fill="BFD7FF" w:color="auto" w:val="clear"/>
          </w:tcPr>
          <w:p>
            <w:r>
              <w:rPr>
                <w:b/>
                <w:sz w:val="20"/>
              </w:rPr>
              <w:t>Title</w:t>
            </w:r>
          </w:p>
        </w:tc>
        <w:tc>
          <w:tcPr>
            <w:tcW w:type="dxa" w:w="2890"/>
            <w:shd w:fill="BFD7FF" w:color="auto" w:val="clear"/>
          </w:tcPr>
          <w:p>
            <w:r>
              <w:rPr>
                <w:b/>
                <w:sz w:val="20"/>
              </w:rPr>
              <w:t>Page No.</w:t>
            </w:r>
          </w:p>
        </w:tc>
      </w:tr>
      <w:tr>
        <w:tc>
          <w:tcPr>
            <w:tcW w:type="dxa" w:w="2890"/>
          </w:tcPr>
          <w:p>
            <w:r>
              <w:rPr>
                <w:sz w:val="18"/>
              </w:rPr>
              <w:t>Fig 1.1</w:t>
            </w:r>
          </w:p>
        </w:tc>
        <w:tc>
          <w:tcPr>
            <w:tcW w:type="dxa" w:w="2890"/>
          </w:tcPr>
          <w:p>
            <w:r>
              <w:rPr>
                <w:sz w:val="18"/>
              </w:rPr>
              <w:t>Internixa System Overview</w:t>
            </w:r>
          </w:p>
        </w:tc>
        <w:tc>
          <w:tcPr>
            <w:tcW w:type="dxa" w:w="2890"/>
          </w:tcPr>
          <w:p>
            <w:r>
              <w:rPr>
                <w:sz w:val="18"/>
              </w:rPr>
              <w:t>2</w:t>
            </w:r>
          </w:p>
        </w:tc>
      </w:tr>
      <w:tr>
        <w:tc>
          <w:tcPr>
            <w:tcW w:type="dxa" w:w="2890"/>
          </w:tcPr>
          <w:p>
            <w:r>
              <w:rPr>
                <w:sz w:val="18"/>
              </w:rPr>
              <w:t>Fig 3.1</w:t>
            </w:r>
          </w:p>
        </w:tc>
        <w:tc>
          <w:tcPr>
            <w:tcW w:type="dxa" w:w="2890"/>
          </w:tcPr>
          <w:p>
            <w:r>
              <w:rPr>
                <w:sz w:val="18"/>
              </w:rPr>
              <w:t>Traditional LMS Architecture</w:t>
            </w:r>
          </w:p>
        </w:tc>
        <w:tc>
          <w:tcPr>
            <w:tcW w:type="dxa" w:w="2890"/>
          </w:tcPr>
          <w:p>
            <w:r>
              <w:rPr>
                <w:sz w:val="18"/>
              </w:rPr>
              <w:t>16</w:t>
            </w:r>
          </w:p>
        </w:tc>
      </w:tr>
      <w:tr>
        <w:tc>
          <w:tcPr>
            <w:tcW w:type="dxa" w:w="2890"/>
          </w:tcPr>
          <w:p>
            <w:r>
              <w:rPr>
                <w:sz w:val="18"/>
              </w:rPr>
              <w:t>Fig 3.2</w:t>
            </w:r>
          </w:p>
        </w:tc>
        <w:tc>
          <w:tcPr>
            <w:tcW w:type="dxa" w:w="2890"/>
          </w:tcPr>
          <w:p>
            <w:r>
              <w:rPr>
                <w:sz w:val="18"/>
              </w:rPr>
              <w:t>Internixa 5-Layer Architecture</w:t>
            </w:r>
          </w:p>
        </w:tc>
        <w:tc>
          <w:tcPr>
            <w:tcW w:type="dxa" w:w="2890"/>
          </w:tcPr>
          <w:p>
            <w:r>
              <w:rPr>
                <w:sz w:val="18"/>
              </w:rPr>
              <w:t>20</w:t>
            </w:r>
          </w:p>
        </w:tc>
      </w:tr>
      <w:tr>
        <w:tc>
          <w:tcPr>
            <w:tcW w:type="dxa" w:w="2890"/>
          </w:tcPr>
          <w:p>
            <w:r>
              <w:rPr>
                <w:sz w:val="18"/>
              </w:rPr>
              <w:t>Fig 3.3</w:t>
            </w:r>
          </w:p>
        </w:tc>
        <w:tc>
          <w:tcPr>
            <w:tcW w:type="dxa" w:w="2890"/>
          </w:tcPr>
          <w:p>
            <w:r>
              <w:rPr>
                <w:sz w:val="18"/>
              </w:rPr>
              <w:t>DFD Level 0 – Context Diagram</w:t>
            </w:r>
          </w:p>
        </w:tc>
        <w:tc>
          <w:tcPr>
            <w:tcW w:type="dxa" w:w="2890"/>
          </w:tcPr>
          <w:p>
            <w:r>
              <w:rPr>
                <w:sz w:val="18"/>
              </w:rPr>
              <w:t>22</w:t>
            </w:r>
          </w:p>
        </w:tc>
      </w:tr>
      <w:tr>
        <w:tc>
          <w:tcPr>
            <w:tcW w:type="dxa" w:w="2890"/>
          </w:tcPr>
          <w:p>
            <w:r>
              <w:rPr>
                <w:sz w:val="18"/>
              </w:rPr>
              <w:t>Fig 3.4</w:t>
            </w:r>
          </w:p>
        </w:tc>
        <w:tc>
          <w:tcPr>
            <w:tcW w:type="dxa" w:w="2890"/>
          </w:tcPr>
          <w:p>
            <w:r>
              <w:rPr>
                <w:sz w:val="18"/>
              </w:rPr>
              <w:t>DFD Level 1 – Detailed Flow</w:t>
            </w:r>
          </w:p>
        </w:tc>
        <w:tc>
          <w:tcPr>
            <w:tcW w:type="dxa" w:w="2890"/>
          </w:tcPr>
          <w:p>
            <w:r>
              <w:rPr>
                <w:sz w:val="18"/>
              </w:rPr>
              <w:t>23</w:t>
            </w:r>
          </w:p>
        </w:tc>
      </w:tr>
      <w:tr>
        <w:tc>
          <w:tcPr>
            <w:tcW w:type="dxa" w:w="2890"/>
          </w:tcPr>
          <w:p>
            <w:r>
              <w:rPr>
                <w:sz w:val="18"/>
              </w:rPr>
              <w:t>Fig 3.5</w:t>
            </w:r>
          </w:p>
        </w:tc>
        <w:tc>
          <w:tcPr>
            <w:tcW w:type="dxa" w:w="2890"/>
          </w:tcPr>
          <w:p>
            <w:r>
              <w:rPr>
                <w:sz w:val="18"/>
              </w:rPr>
              <w:t>MediaPipe Face Mesh (468 Landmarks)</w:t>
            </w:r>
          </w:p>
        </w:tc>
        <w:tc>
          <w:tcPr>
            <w:tcW w:type="dxa" w:w="2890"/>
          </w:tcPr>
          <w:p>
            <w:r>
              <w:rPr>
                <w:sz w:val="18"/>
              </w:rPr>
              <w:t>25</w:t>
            </w:r>
          </w:p>
        </w:tc>
      </w:tr>
      <w:tr>
        <w:tc>
          <w:tcPr>
            <w:tcW w:type="dxa" w:w="2890"/>
          </w:tcPr>
          <w:p>
            <w:r>
              <w:rPr>
                <w:sz w:val="18"/>
              </w:rPr>
              <w:t>Fig 3.6</w:t>
            </w:r>
          </w:p>
        </w:tc>
        <w:tc>
          <w:tcPr>
            <w:tcW w:type="dxa" w:w="2890"/>
          </w:tcPr>
          <w:p>
            <w:r>
              <w:rPr>
                <w:sz w:val="18"/>
              </w:rPr>
              <w:t>Eye Aspect Ratio (EAR) Landmark Diagram</w:t>
            </w:r>
          </w:p>
        </w:tc>
        <w:tc>
          <w:tcPr>
            <w:tcW w:type="dxa" w:w="2890"/>
          </w:tcPr>
          <w:p>
            <w:r>
              <w:rPr>
                <w:sz w:val="18"/>
              </w:rPr>
              <w:t>26</w:t>
            </w:r>
          </w:p>
        </w:tc>
      </w:tr>
      <w:tr>
        <w:tc>
          <w:tcPr>
            <w:tcW w:type="dxa" w:w="2890"/>
          </w:tcPr>
          <w:p>
            <w:r>
              <w:rPr>
                <w:sz w:val="18"/>
              </w:rPr>
              <w:t>Fig 3.7</w:t>
            </w:r>
          </w:p>
        </w:tc>
        <w:tc>
          <w:tcPr>
            <w:tcW w:type="dxa" w:w="2890"/>
          </w:tcPr>
          <w:p>
            <w:r>
              <w:rPr>
                <w:sz w:val="18"/>
              </w:rPr>
              <w:t>Gaze Detection Algorithm Flow</w:t>
            </w:r>
          </w:p>
        </w:tc>
        <w:tc>
          <w:tcPr>
            <w:tcW w:type="dxa" w:w="2890"/>
          </w:tcPr>
          <w:p>
            <w:r>
              <w:rPr>
                <w:sz w:val="18"/>
              </w:rPr>
              <w:t>27</w:t>
            </w:r>
          </w:p>
        </w:tc>
      </w:tr>
      <w:tr>
        <w:tc>
          <w:tcPr>
            <w:tcW w:type="dxa" w:w="2890"/>
          </w:tcPr>
          <w:p>
            <w:r>
              <w:rPr>
                <w:sz w:val="18"/>
              </w:rPr>
              <w:t>Fig 3.8</w:t>
            </w:r>
          </w:p>
        </w:tc>
        <w:tc>
          <w:tcPr>
            <w:tcW w:type="dxa" w:w="2890"/>
          </w:tcPr>
          <w:p>
            <w:r>
              <w:rPr>
                <w:sz w:val="18"/>
              </w:rPr>
              <w:t>RAG Pipeline Flow</w:t>
            </w:r>
          </w:p>
        </w:tc>
        <w:tc>
          <w:tcPr>
            <w:tcW w:type="dxa" w:w="2890"/>
          </w:tcPr>
          <w:p>
            <w:r>
              <w:rPr>
                <w:sz w:val="18"/>
              </w:rPr>
              <w:t>28</w:t>
            </w:r>
          </w:p>
        </w:tc>
      </w:tr>
      <w:tr>
        <w:tc>
          <w:tcPr>
            <w:tcW w:type="dxa" w:w="2890"/>
          </w:tcPr>
          <w:p>
            <w:r>
              <w:rPr>
                <w:sz w:val="18"/>
              </w:rPr>
              <w:t>Fig 3.9</w:t>
            </w:r>
          </w:p>
        </w:tc>
        <w:tc>
          <w:tcPr>
            <w:tcW w:type="dxa" w:w="2890"/>
          </w:tcPr>
          <w:p>
            <w:r>
              <w:rPr>
                <w:sz w:val="18"/>
              </w:rPr>
              <w:t>WebRTC Signaling Diagram</w:t>
            </w:r>
          </w:p>
        </w:tc>
        <w:tc>
          <w:tcPr>
            <w:tcW w:type="dxa" w:w="2890"/>
          </w:tcPr>
          <w:p>
            <w:r>
              <w:rPr>
                <w:sz w:val="18"/>
              </w:rPr>
              <w:t>29</w:t>
            </w:r>
          </w:p>
        </w:tc>
      </w:tr>
      <w:tr>
        <w:tc>
          <w:tcPr>
            <w:tcW w:type="dxa" w:w="2890"/>
          </w:tcPr>
          <w:p>
            <w:r>
              <w:rPr>
                <w:sz w:val="18"/>
              </w:rPr>
              <w:t>Fig 3.10</w:t>
            </w:r>
          </w:p>
        </w:tc>
        <w:tc>
          <w:tcPr>
            <w:tcW w:type="dxa" w:w="2890"/>
          </w:tcPr>
          <w:p>
            <w:r>
              <w:rPr>
                <w:sz w:val="18"/>
              </w:rPr>
              <w:t>Certificate Generation Flow</w:t>
            </w:r>
          </w:p>
        </w:tc>
        <w:tc>
          <w:tcPr>
            <w:tcW w:type="dxa" w:w="2890"/>
          </w:tcPr>
          <w:p>
            <w:r>
              <w:rPr>
                <w:sz w:val="18"/>
              </w:rPr>
              <w:t>35</w:t>
            </w:r>
          </w:p>
        </w:tc>
      </w:tr>
      <w:tr>
        <w:tc>
          <w:tcPr>
            <w:tcW w:type="dxa" w:w="2890"/>
          </w:tcPr>
          <w:p>
            <w:r>
              <w:rPr>
                <w:sz w:val="18"/>
              </w:rPr>
              <w:t>Fig 4.1</w:t>
            </w:r>
          </w:p>
        </w:tc>
        <w:tc>
          <w:tcPr>
            <w:tcW w:type="dxa" w:w="2890"/>
          </w:tcPr>
          <w:p>
            <w:r>
              <w:rPr>
                <w:sz w:val="18"/>
              </w:rPr>
              <w:t>System Requirements Overview</w:t>
            </w:r>
          </w:p>
        </w:tc>
        <w:tc>
          <w:tcPr>
            <w:tcW w:type="dxa" w:w="2890"/>
          </w:tcPr>
          <w:p>
            <w:r>
              <w:rPr>
                <w:sz w:val="18"/>
              </w:rPr>
              <w:t>36</w:t>
            </w:r>
          </w:p>
        </w:tc>
      </w:tr>
      <w:tr>
        <w:tc>
          <w:tcPr>
            <w:tcW w:type="dxa" w:w="2890"/>
          </w:tcPr>
          <w:p>
            <w:r>
              <w:rPr>
                <w:sz w:val="18"/>
              </w:rPr>
              <w:t>Fig 4.2</w:t>
            </w:r>
          </w:p>
        </w:tc>
        <w:tc>
          <w:tcPr>
            <w:tcW w:type="dxa" w:w="2890"/>
          </w:tcPr>
          <w:p>
            <w:r>
              <w:rPr>
                <w:sz w:val="18"/>
              </w:rPr>
              <w:t>Engagement Score Calculation Flow</w:t>
            </w:r>
          </w:p>
        </w:tc>
        <w:tc>
          <w:tcPr>
            <w:tcW w:type="dxa" w:w="2890"/>
          </w:tcPr>
          <w:p>
            <w:r>
              <w:rPr>
                <w:sz w:val="18"/>
              </w:rPr>
              <w:t>48</w:t>
            </w:r>
          </w:p>
        </w:tc>
      </w:tr>
      <w:tr>
        <w:tc>
          <w:tcPr>
            <w:tcW w:type="dxa" w:w="2890"/>
          </w:tcPr>
          <w:p>
            <w:r>
              <w:rPr>
                <w:sz w:val="18"/>
              </w:rPr>
              <w:t>Fig 4.3</w:t>
            </w:r>
          </w:p>
        </w:tc>
        <w:tc>
          <w:tcPr>
            <w:tcW w:type="dxa" w:w="2890"/>
          </w:tcPr>
          <w:p>
            <w:r>
              <w:rPr>
                <w:sz w:val="18"/>
              </w:rPr>
              <w:t>Focus Points Algorithm Flowchart</w:t>
            </w:r>
          </w:p>
        </w:tc>
        <w:tc>
          <w:tcPr>
            <w:tcW w:type="dxa" w:w="2890"/>
          </w:tcPr>
          <w:p>
            <w:r>
              <w:rPr>
                <w:sz w:val="18"/>
              </w:rPr>
              <w:t>49</w:t>
            </w:r>
          </w:p>
        </w:tc>
      </w:tr>
    </w:tbl>
    <w:p/>
    <w:p>
      <w:r>
        <w:br w:type="page"/>
      </w:r>
    </w:p>
    <w:p>
      <w:pPr>
        <w:spacing w:before="400" w:after="240" w:line="360" w:lineRule="exact"/>
        <w:jc w:val="center"/>
      </w:pPr>
      <w:r>
        <w:rPr>
          <w:rFonts w:ascii="Times New Roman" w:hAnsi="Times New Roman"/>
          <w:b/>
          <w:i w:val="0"/>
          <w:sz w:val="28"/>
        </w:rPr>
        <w:t>LIST OF TABLES</w:t>
      </w:r>
    </w:p>
    <w:p>
      <w:pPr>
        <w:spacing w:before="160" w:after="80" w:line="360" w:lineRule="exact"/>
        <w:jc w:val="center"/>
      </w:pP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color="auto" w:val="clear"/>
          </w:tcPr>
          <w:p>
            <w:r>
              <w:rPr>
                <w:b/>
                <w:sz w:val="20"/>
              </w:rPr>
              <w:t>Table No.</w:t>
            </w:r>
          </w:p>
        </w:tc>
        <w:tc>
          <w:tcPr>
            <w:tcW w:type="dxa" w:w="2890"/>
            <w:shd w:fill="BFD7FF" w:color="auto" w:val="clear"/>
          </w:tcPr>
          <w:p>
            <w:r>
              <w:rPr>
                <w:b/>
                <w:sz w:val="20"/>
              </w:rPr>
              <w:t>Title</w:t>
            </w:r>
          </w:p>
        </w:tc>
        <w:tc>
          <w:tcPr>
            <w:tcW w:type="dxa" w:w="2890"/>
            <w:shd w:fill="BFD7FF" w:color="auto" w:val="clear"/>
          </w:tcPr>
          <w:p>
            <w:r>
              <w:rPr>
                <w:b/>
                <w:sz w:val="20"/>
              </w:rPr>
              <w:t>Page No.</w:t>
            </w:r>
          </w:p>
        </w:tc>
      </w:tr>
      <w:tr>
        <w:tc>
          <w:tcPr>
            <w:tcW w:type="dxa" w:w="2890"/>
          </w:tcPr>
          <w:p>
            <w:r>
              <w:rPr>
                <w:sz w:val="18"/>
              </w:rPr>
              <w:t>Table 2.1</w:t>
            </w:r>
          </w:p>
        </w:tc>
        <w:tc>
          <w:tcPr>
            <w:tcW w:type="dxa" w:w="2890"/>
          </w:tcPr>
          <w:p>
            <w:r>
              <w:rPr>
                <w:sz w:val="18"/>
              </w:rPr>
              <w:t>Comparative Analysis of E-Learning Platforms</w:t>
            </w:r>
          </w:p>
        </w:tc>
        <w:tc>
          <w:tcPr>
            <w:tcW w:type="dxa" w:w="2890"/>
          </w:tcPr>
          <w:p>
            <w:r>
              <w:rPr>
                <w:sz w:val="18"/>
              </w:rPr>
              <w:t>14</w:t>
            </w:r>
          </w:p>
        </w:tc>
      </w:tr>
      <w:tr>
        <w:tc>
          <w:tcPr>
            <w:tcW w:type="dxa" w:w="2890"/>
          </w:tcPr>
          <w:p>
            <w:r>
              <w:rPr>
                <w:sz w:val="18"/>
              </w:rPr>
              <w:t>Table 4.1</w:t>
            </w:r>
          </w:p>
        </w:tc>
        <w:tc>
          <w:tcPr>
            <w:tcW w:type="dxa" w:w="2890"/>
          </w:tcPr>
          <w:p>
            <w:r>
              <w:rPr>
                <w:sz w:val="18"/>
              </w:rPr>
              <w:t>Tools and Technologies Used</w:t>
            </w:r>
          </w:p>
        </w:tc>
        <w:tc>
          <w:tcPr>
            <w:tcW w:type="dxa" w:w="2890"/>
          </w:tcPr>
          <w:p>
            <w:r>
              <w:rPr>
                <w:sz w:val="18"/>
              </w:rPr>
              <w:t>36</w:t>
            </w:r>
          </w:p>
        </w:tc>
      </w:tr>
      <w:tr>
        <w:tc>
          <w:tcPr>
            <w:tcW w:type="dxa" w:w="2890"/>
          </w:tcPr>
          <w:p>
            <w:r>
              <w:rPr>
                <w:sz w:val="18"/>
              </w:rPr>
              <w:t>Table 4.2</w:t>
            </w:r>
          </w:p>
        </w:tc>
        <w:tc>
          <w:tcPr>
            <w:tcW w:type="dxa" w:w="2890"/>
          </w:tcPr>
          <w:p>
            <w:r>
              <w:rPr>
                <w:sz w:val="18"/>
              </w:rPr>
              <w:t>Performance Benchmarks</w:t>
            </w:r>
          </w:p>
        </w:tc>
        <w:tc>
          <w:tcPr>
            <w:tcW w:type="dxa" w:w="2890"/>
          </w:tcPr>
          <w:p>
            <w:r>
              <w:rPr>
                <w:sz w:val="18"/>
              </w:rPr>
              <w:t>50</w:t>
            </w:r>
          </w:p>
        </w:tc>
      </w:tr>
    </w:tbl>
    <w:p/>
    <w:p>
      <w:r>
        <w:br w:type="page"/>
      </w:r>
    </w:p>
    <w:p>
      <w:pPr>
        <w:spacing w:before="400" w:after="240" w:line="360" w:lineRule="exact"/>
        <w:jc w:val="center"/>
      </w:pPr>
      <w:r>
        <w:rPr>
          <w:rFonts w:ascii="Times New Roman" w:hAnsi="Times New Roman"/>
          <w:b/>
          <w:i w:val="0"/>
          <w:sz w:val="28"/>
        </w:rPr>
        <w:t>LIST OF ABBREVIATIONS</w:t>
      </w:r>
    </w:p>
    <w:p>
      <w:pPr>
        <w:spacing w:before="160" w:after="80" w:line="360" w:lineRule="exact"/>
        <w:jc w:val="center"/>
      </w:pPr>
    </w:p>
    <w:tbl>
      <w:tblPr>
        <w:tblStyle w:val="TableGrid"/>
        <w:tblW w:type="auto" w:w="0"/>
        <w:jc w:val="center"/>
        <w:tblLook w:firstColumn="1" w:firstRow="1" w:lastColumn="0" w:lastRow="0" w:noHBand="0" w:noVBand="1" w:val="04A0"/>
      </w:tblPr>
      <w:tblGrid>
        <w:gridCol w:w="4334"/>
        <w:gridCol w:w="4334"/>
      </w:tblGrid>
      <w:tr>
        <w:tc>
          <w:tcPr>
            <w:tcW w:type="dxa" w:w="4334"/>
            <w:shd w:fill="BFD7FF" w:color="auto" w:val="clear"/>
          </w:tcPr>
          <w:p>
            <w:r>
              <w:rPr>
                <w:b/>
                <w:sz w:val="20"/>
              </w:rPr>
              <w:t>Abbreviation</w:t>
            </w:r>
          </w:p>
        </w:tc>
        <w:tc>
          <w:tcPr>
            <w:tcW w:type="dxa" w:w="4334"/>
            <w:shd w:fill="BFD7FF" w:color="auto" w:val="clear"/>
          </w:tcPr>
          <w:p>
            <w:r>
              <w:rPr>
                <w:b/>
                <w:sz w:val="20"/>
              </w:rPr>
              <w:t>Full Form</w:t>
            </w:r>
          </w:p>
        </w:tc>
      </w:tr>
      <w:tr>
        <w:tc>
          <w:tcPr>
            <w:tcW w:type="dxa" w:w="4334"/>
          </w:tcPr>
          <w:p>
            <w:r>
              <w:rPr>
                <w:sz w:val="18"/>
              </w:rPr>
              <w:t>AI</w:t>
            </w:r>
          </w:p>
        </w:tc>
        <w:tc>
          <w:tcPr>
            <w:tcW w:type="dxa" w:w="4334"/>
          </w:tcPr>
          <w:p>
            <w:r>
              <w:rPr>
                <w:sz w:val="18"/>
              </w:rPr>
              <w:t>Artificial Intelligence</w:t>
            </w:r>
          </w:p>
        </w:tc>
      </w:tr>
      <w:tr>
        <w:tc>
          <w:tcPr>
            <w:tcW w:type="dxa" w:w="4334"/>
          </w:tcPr>
          <w:p>
            <w:r>
              <w:rPr>
                <w:sz w:val="18"/>
              </w:rPr>
              <w:t>EAR</w:t>
            </w:r>
          </w:p>
        </w:tc>
        <w:tc>
          <w:tcPr>
            <w:tcW w:type="dxa" w:w="4334"/>
          </w:tcPr>
          <w:p>
            <w:r>
              <w:rPr>
                <w:sz w:val="18"/>
              </w:rPr>
              <w:t>Eye Aspect Ratio</w:t>
            </w:r>
          </w:p>
        </w:tc>
      </w:tr>
      <w:tr>
        <w:tc>
          <w:tcPr>
            <w:tcW w:type="dxa" w:w="4334"/>
          </w:tcPr>
          <w:p>
            <w:r>
              <w:rPr>
                <w:sz w:val="18"/>
              </w:rPr>
              <w:t>RAG</w:t>
            </w:r>
          </w:p>
        </w:tc>
        <w:tc>
          <w:tcPr>
            <w:tcW w:type="dxa" w:w="4334"/>
          </w:tcPr>
          <w:p>
            <w:r>
              <w:rPr>
                <w:sz w:val="18"/>
              </w:rPr>
              <w:t>Retrieval-Augmented Generation</w:t>
            </w:r>
          </w:p>
        </w:tc>
      </w:tr>
      <w:tr>
        <w:tc>
          <w:tcPr>
            <w:tcW w:type="dxa" w:w="4334"/>
          </w:tcPr>
          <w:p>
            <w:r>
              <w:rPr>
                <w:sz w:val="18"/>
              </w:rPr>
              <w:t>LLM</w:t>
            </w:r>
          </w:p>
        </w:tc>
        <w:tc>
          <w:tcPr>
            <w:tcW w:type="dxa" w:w="4334"/>
          </w:tcPr>
          <w:p>
            <w:r>
              <w:rPr>
                <w:sz w:val="18"/>
              </w:rPr>
              <w:t>Large Language Model</w:t>
            </w:r>
          </w:p>
        </w:tc>
      </w:tr>
      <w:tr>
        <w:tc>
          <w:tcPr>
            <w:tcW w:type="dxa" w:w="4334"/>
          </w:tcPr>
          <w:p>
            <w:r>
              <w:rPr>
                <w:sz w:val="18"/>
              </w:rPr>
              <w:t>JWT</w:t>
            </w:r>
          </w:p>
        </w:tc>
        <w:tc>
          <w:tcPr>
            <w:tcW w:type="dxa" w:w="4334"/>
          </w:tcPr>
          <w:p>
            <w:r>
              <w:rPr>
                <w:sz w:val="18"/>
              </w:rPr>
              <w:t>JSON Web Token</w:t>
            </w:r>
          </w:p>
        </w:tc>
      </w:tr>
      <w:tr>
        <w:tc>
          <w:tcPr>
            <w:tcW w:type="dxa" w:w="4334"/>
          </w:tcPr>
          <w:p>
            <w:r>
              <w:rPr>
                <w:sz w:val="18"/>
              </w:rPr>
              <w:t>FP</w:t>
            </w:r>
          </w:p>
        </w:tc>
        <w:tc>
          <w:tcPr>
            <w:tcW w:type="dxa" w:w="4334"/>
          </w:tcPr>
          <w:p>
            <w:r>
              <w:rPr>
                <w:sz w:val="18"/>
              </w:rPr>
              <w:t>Focus Points</w:t>
            </w:r>
          </w:p>
        </w:tc>
      </w:tr>
      <w:tr>
        <w:tc>
          <w:tcPr>
            <w:tcW w:type="dxa" w:w="4334"/>
          </w:tcPr>
          <w:p>
            <w:r>
              <w:rPr>
                <w:sz w:val="18"/>
              </w:rPr>
              <w:t>WebRTC</w:t>
            </w:r>
          </w:p>
        </w:tc>
        <w:tc>
          <w:tcPr>
            <w:tcW w:type="dxa" w:w="4334"/>
          </w:tcPr>
          <w:p>
            <w:r>
              <w:rPr>
                <w:sz w:val="18"/>
              </w:rPr>
              <w:t>Web Real-Time Communication</w:t>
            </w:r>
          </w:p>
        </w:tc>
      </w:tr>
      <w:tr>
        <w:tc>
          <w:tcPr>
            <w:tcW w:type="dxa" w:w="4334"/>
          </w:tcPr>
          <w:p>
            <w:r>
              <w:rPr>
                <w:sz w:val="18"/>
              </w:rPr>
              <w:t>ASGI</w:t>
            </w:r>
          </w:p>
        </w:tc>
        <w:tc>
          <w:tcPr>
            <w:tcW w:type="dxa" w:w="4334"/>
          </w:tcPr>
          <w:p>
            <w:r>
              <w:rPr>
                <w:sz w:val="18"/>
              </w:rPr>
              <w:t>Asynchronous Server Gateway Interface</w:t>
            </w:r>
          </w:p>
        </w:tc>
      </w:tr>
      <w:tr>
        <w:tc>
          <w:tcPr>
            <w:tcW w:type="dxa" w:w="4334"/>
          </w:tcPr>
          <w:p>
            <w:r>
              <w:rPr>
                <w:sz w:val="18"/>
              </w:rPr>
              <w:t>API</w:t>
            </w:r>
          </w:p>
        </w:tc>
        <w:tc>
          <w:tcPr>
            <w:tcW w:type="dxa" w:w="4334"/>
          </w:tcPr>
          <w:p>
            <w:r>
              <w:rPr>
                <w:sz w:val="18"/>
              </w:rPr>
              <w:t>Application Programming Interface</w:t>
            </w:r>
          </w:p>
        </w:tc>
      </w:tr>
      <w:tr>
        <w:tc>
          <w:tcPr>
            <w:tcW w:type="dxa" w:w="4334"/>
          </w:tcPr>
          <w:p>
            <w:r>
              <w:rPr>
                <w:sz w:val="18"/>
              </w:rPr>
              <w:t>DFD</w:t>
            </w:r>
          </w:p>
        </w:tc>
        <w:tc>
          <w:tcPr>
            <w:tcW w:type="dxa" w:w="4334"/>
          </w:tcPr>
          <w:p>
            <w:r>
              <w:rPr>
                <w:sz w:val="18"/>
              </w:rPr>
              <w:t>Data Flow Diagram</w:t>
            </w:r>
          </w:p>
        </w:tc>
      </w:tr>
      <w:tr>
        <w:tc>
          <w:tcPr>
            <w:tcW w:type="dxa" w:w="4334"/>
          </w:tcPr>
          <w:p>
            <w:r>
              <w:rPr>
                <w:sz w:val="18"/>
              </w:rPr>
              <w:t>FPS</w:t>
            </w:r>
          </w:p>
        </w:tc>
        <w:tc>
          <w:tcPr>
            <w:tcW w:type="dxa" w:w="4334"/>
          </w:tcPr>
          <w:p>
            <w:r>
              <w:rPr>
                <w:sz w:val="18"/>
              </w:rPr>
              <w:t>Frames Per Second</w:t>
            </w:r>
          </w:p>
        </w:tc>
      </w:tr>
      <w:tr>
        <w:tc>
          <w:tcPr>
            <w:tcW w:type="dxa" w:w="4334"/>
          </w:tcPr>
          <w:p>
            <w:r>
              <w:rPr>
                <w:sz w:val="18"/>
              </w:rPr>
              <w:t>HUD</w:t>
            </w:r>
          </w:p>
        </w:tc>
        <w:tc>
          <w:tcPr>
            <w:tcW w:type="dxa" w:w="4334"/>
          </w:tcPr>
          <w:p>
            <w:r>
              <w:rPr>
                <w:sz w:val="18"/>
              </w:rPr>
              <w:t>Heads-Up Display</w:t>
            </w:r>
          </w:p>
        </w:tc>
      </w:tr>
      <w:tr>
        <w:tc>
          <w:tcPr>
            <w:tcW w:type="dxa" w:w="4334"/>
          </w:tcPr>
          <w:p>
            <w:r>
              <w:rPr>
                <w:sz w:val="18"/>
              </w:rPr>
              <w:t>UI</w:t>
            </w:r>
          </w:p>
        </w:tc>
        <w:tc>
          <w:tcPr>
            <w:tcW w:type="dxa" w:w="4334"/>
          </w:tcPr>
          <w:p>
            <w:r>
              <w:rPr>
                <w:sz w:val="18"/>
              </w:rPr>
              <w:t>User Interface</w:t>
            </w:r>
          </w:p>
        </w:tc>
      </w:tr>
      <w:tr>
        <w:tc>
          <w:tcPr>
            <w:tcW w:type="dxa" w:w="4334"/>
          </w:tcPr>
          <w:p>
            <w:r>
              <w:rPr>
                <w:sz w:val="18"/>
              </w:rPr>
              <w:t>UX</w:t>
            </w:r>
          </w:p>
        </w:tc>
        <w:tc>
          <w:tcPr>
            <w:tcW w:type="dxa" w:w="4334"/>
          </w:tcPr>
          <w:p>
            <w:r>
              <w:rPr>
                <w:sz w:val="18"/>
              </w:rPr>
              <w:t>User Experience</w:t>
            </w:r>
          </w:p>
        </w:tc>
      </w:tr>
      <w:tr>
        <w:tc>
          <w:tcPr>
            <w:tcW w:type="dxa" w:w="4334"/>
          </w:tcPr>
          <w:p>
            <w:r>
              <w:rPr>
                <w:sz w:val="18"/>
              </w:rPr>
              <w:t>PDF</w:t>
            </w:r>
          </w:p>
        </w:tc>
        <w:tc>
          <w:tcPr>
            <w:tcW w:type="dxa" w:w="4334"/>
          </w:tcPr>
          <w:p>
            <w:r>
              <w:rPr>
                <w:sz w:val="18"/>
              </w:rPr>
              <w:t>Portable Document Format</w:t>
            </w:r>
          </w:p>
        </w:tc>
      </w:tr>
      <w:tr>
        <w:tc>
          <w:tcPr>
            <w:tcW w:type="dxa" w:w="4334"/>
          </w:tcPr>
          <w:p>
            <w:r>
              <w:rPr>
                <w:sz w:val="18"/>
              </w:rPr>
              <w:t>LMS</w:t>
            </w:r>
          </w:p>
        </w:tc>
        <w:tc>
          <w:tcPr>
            <w:tcW w:type="dxa" w:w="4334"/>
          </w:tcPr>
          <w:p>
            <w:r>
              <w:rPr>
                <w:sz w:val="18"/>
              </w:rPr>
              <w:t>Learning Management System</w:t>
            </w:r>
          </w:p>
        </w:tc>
      </w:tr>
      <w:tr>
        <w:tc>
          <w:tcPr>
            <w:tcW w:type="dxa" w:w="4334"/>
          </w:tcPr>
          <w:p>
            <w:r>
              <w:rPr>
                <w:sz w:val="18"/>
              </w:rPr>
              <w:t>MOOC</w:t>
            </w:r>
          </w:p>
        </w:tc>
        <w:tc>
          <w:tcPr>
            <w:tcW w:type="dxa" w:w="4334"/>
          </w:tcPr>
          <w:p>
            <w:r>
              <w:rPr>
                <w:sz w:val="18"/>
              </w:rPr>
              <w:t>Massive Open Online Course</w:t>
            </w:r>
          </w:p>
        </w:tc>
      </w:tr>
      <w:tr>
        <w:tc>
          <w:tcPr>
            <w:tcW w:type="dxa" w:w="4334"/>
          </w:tcPr>
          <w:p>
            <w:r>
              <w:rPr>
                <w:sz w:val="18"/>
              </w:rPr>
              <w:t>NoSQL</w:t>
            </w:r>
          </w:p>
        </w:tc>
        <w:tc>
          <w:tcPr>
            <w:tcW w:type="dxa" w:w="4334"/>
          </w:tcPr>
          <w:p>
            <w:r>
              <w:rPr>
                <w:sz w:val="18"/>
              </w:rPr>
              <w:t>Not Only SQL</w:t>
            </w:r>
          </w:p>
        </w:tc>
      </w:tr>
      <w:tr>
        <w:tc>
          <w:tcPr>
            <w:tcW w:type="dxa" w:w="4334"/>
          </w:tcPr>
          <w:p>
            <w:r>
              <w:rPr>
                <w:sz w:val="18"/>
              </w:rPr>
              <w:t>STUN</w:t>
            </w:r>
          </w:p>
        </w:tc>
        <w:tc>
          <w:tcPr>
            <w:tcW w:type="dxa" w:w="4334"/>
          </w:tcPr>
          <w:p>
            <w:r>
              <w:rPr>
                <w:sz w:val="18"/>
              </w:rPr>
              <w:t>Session Traversal Utilities for NAT</w:t>
            </w:r>
          </w:p>
        </w:tc>
      </w:tr>
      <w:tr>
        <w:tc>
          <w:tcPr>
            <w:tcW w:type="dxa" w:w="4334"/>
          </w:tcPr>
          <w:p>
            <w:r>
              <w:rPr>
                <w:sz w:val="18"/>
              </w:rPr>
              <w:t>SDP</w:t>
            </w:r>
          </w:p>
        </w:tc>
        <w:tc>
          <w:tcPr>
            <w:tcW w:type="dxa" w:w="4334"/>
          </w:tcPr>
          <w:p>
            <w:r>
              <w:rPr>
                <w:sz w:val="18"/>
              </w:rPr>
              <w:t>Session Description Protocol</w:t>
            </w:r>
          </w:p>
        </w:tc>
      </w:tr>
    </w:tbl>
    <w:p/>
    <w:p>
      <w:r>
        <w:br w:type="page"/>
      </w:r>
    </w:p>
    <w:p>
      <w:pPr>
        <w:spacing w:before="480" w:after="80" w:line="360" w:lineRule="exact"/>
        <w:jc w:val="center"/>
      </w:pPr>
      <w:r>
        <w:rPr>
          <w:rFonts w:ascii="Times New Roman" w:hAnsi="Times New Roman"/>
          <w:b/>
          <w:i w:val="0"/>
          <w:sz w:val="28"/>
        </w:rPr>
        <w:t>CHAPTER 1</w:t>
      </w:r>
    </w:p>
    <w:p>
      <w:pPr>
        <w:spacing w:before="0" w:after="360" w:line="360" w:lineRule="exact"/>
        <w:jc w:val="center"/>
      </w:pPr>
      <w:r>
        <w:rPr>
          <w:rFonts w:ascii="Times New Roman" w:hAnsi="Times New Roman"/>
          <w:b/>
          <w:i w:val="0"/>
          <w:sz w:val="28"/>
        </w:rPr>
        <w:t>INTRODUCTION</w:t>
      </w:r>
    </w:p>
    <w:p>
      <w:pPr>
        <w:jc w:val="center"/>
      </w:pPr>
      <w:r>
        <w:drawing>
          <wp:inline xmlns:a="http://schemas.openxmlformats.org/drawingml/2006/main" xmlns:pic="http://schemas.openxmlformats.org/drawingml/2006/picture">
            <wp:extent cx="5029200" cy="2696022"/>
            <wp:docPr id="1" name="Picture 1"/>
            <wp:cNvGraphicFramePr>
              <a:graphicFrameLocks noChangeAspect="1"/>
            </wp:cNvGraphicFramePr>
            <a:graphic>
              <a:graphicData uri="http://schemas.openxmlformats.org/drawingml/2006/picture">
                <pic:pic>
                  <pic:nvPicPr>
                    <pic:cNvPr id="0" name="fig1_1_overview.png"/>
                    <pic:cNvPicPr/>
                  </pic:nvPicPr>
                  <pic:blipFill>
                    <a:blip r:embed="rId9"/>
                    <a:stretch>
                      <a:fillRect/>
                    </a:stretch>
                  </pic:blipFill>
                  <pic:spPr>
                    <a:xfrm>
                      <a:off x="0" y="0"/>
                      <a:ext cx="5029200" cy="2696022"/>
                    </a:xfrm>
                    <a:prstGeom prst="rect"/>
                  </pic:spPr>
                </pic:pic>
              </a:graphicData>
            </a:graphic>
          </wp:inline>
        </w:drawing>
      </w:r>
    </w:p>
    <w:p>
      <w:pPr>
        <w:spacing w:before="40" w:after="240" w:line="360" w:lineRule="exact"/>
        <w:jc w:val="center"/>
      </w:pPr>
      <w:r>
        <w:rPr>
          <w:rFonts w:ascii="Times New Roman" w:hAnsi="Times New Roman"/>
          <w:b w:val="0"/>
          <w:i/>
          <w:sz w:val="22"/>
        </w:rPr>
        <w:t>Fig 1.1 – Internixa System Overview</w:t>
      </w:r>
    </w:p>
    <w:p>
      <w:pPr>
        <w:spacing w:before="240" w:after="120" w:line="360" w:lineRule="exact"/>
        <w:jc w:val="left"/>
      </w:pPr>
      <w:r>
        <w:rPr>
          <w:rFonts w:ascii="Times New Roman" w:hAnsi="Times New Roman"/>
          <w:b/>
          <w:i w:val="0"/>
          <w:sz w:val="24"/>
        </w:rPr>
        <w:t>1.1  Background</w:t>
      </w:r>
    </w:p>
    <w:p>
      <w:pPr>
        <w:spacing w:before="0" w:after="120" w:line="360" w:lineRule="exact"/>
        <w:jc w:val="both"/>
      </w:pPr>
      <w:r>
        <w:rPr>
          <w:rFonts w:ascii="Times New Roman" w:hAnsi="Times New Roman"/>
          <w:b w:val="0"/>
          <w:i w:val="0"/>
          <w:sz w:val="24"/>
        </w:rPr>
        <w:t>The global landscape of education has undergone a seismic transformation over the past decade, driven by the exponential growth of broadband internet access and the proliferation of smart devices. Massive Open Online Course (MOOC) platforms such as Coursera, Udemy, edX, and India's NPTEL have democratised education, granting learners from every socioeconomic stratum access to world-class curricula. This democratisation accelerated dramatically in the aftermath of the COVID-19 pandemic, which forced institutions worldwide to pivot entirely to remote, digital-first delivery models. According to UNESCO estimates, over 1.5 billion students were affected by school closures during the pandemic, catalysing unprecedented adoption of e-learning tools.</w:t>
      </w:r>
    </w:p>
    <w:p>
      <w:pPr>
        <w:spacing w:before="0" w:after="120" w:line="360" w:lineRule="exact"/>
        <w:jc w:val="both"/>
      </w:pPr>
      <w:r>
        <w:rPr>
          <w:rFonts w:ascii="Times New Roman" w:hAnsi="Times New Roman"/>
          <w:b w:val="0"/>
          <w:i w:val="0"/>
          <w:sz w:val="24"/>
        </w:rPr>
        <w:t>Despite these remarkable advances in accessibility, a fundamental pedagogical weakness persists within the dominant e-learning paradigm. Traditional online platforms are architecturally passive: they deliver content to the learner but possess no mechanism to verify that the learner is actively consuming it. This structural deficiency has given rise to what educators and platform engineers commonly call the "Background Video" problem — the phenomenon wherein a student initiates a course video, then diverts their attention to unrelated activities (social media browsing, gaming, or simply leaving the room) while the video continues to play unattended. The platform's engagement metrics record a completed view, yet no actual learning has occurred. This represents a profound failure of the verification model underpinning modern digital education.</w:t>
      </w:r>
    </w:p>
    <w:p>
      <w:pPr>
        <w:spacing w:before="0" w:after="120" w:line="360" w:lineRule="exact"/>
        <w:jc w:val="both"/>
      </w:pPr>
      <w:r>
        <w:rPr>
          <w:rFonts w:ascii="Times New Roman" w:hAnsi="Times New Roman"/>
          <w:b w:val="0"/>
          <w:i w:val="0"/>
          <w:sz w:val="24"/>
        </w:rPr>
        <w:t>The absence of the natural "academic friction" that exists in a physical classroom environment is at the heart of this challenge. In a traditional classroom, a teacher's physical presence, eye contact, direct questioning, and real-time feedback create a dynamic environment that inherently demands attention. Online platforms, by contrast, lack these enforcement mechanisms entirely. The result is a well-documented engagement deficit: research by Kizilcec et al. (2017) found that the majority of MOOC participants exhibit passive engagement patterns, and a study by Jordan (2015) documented average completion rates of less than fifteen percent across major platforms. Internixa was conceived specifically to bridge this engagement gap through the intelligent application of browser-based computer vision.</w:t>
      </w:r>
    </w:p>
    <w:p>
      <w:pPr>
        <w:spacing w:before="0" w:after="120" w:line="360" w:lineRule="exact"/>
        <w:jc w:val="both"/>
      </w:pPr>
      <w:r>
        <w:rPr>
          <w:rFonts w:ascii="Times New Roman" w:hAnsi="Times New Roman"/>
          <w:b w:val="0"/>
          <w:i w:val="0"/>
          <w:sz w:val="24"/>
        </w:rPr>
        <w:t>The domain of edge-deployed Artificial Intelligence — where machine learning models execute directly within the client browser rather than on a remote server — has matured significantly with the release of frameworks such as Google's MediaPipe and TensorFlow.js. These tools make it feasible to run complex inference tasks, including real-time facial landmark detection, on consumer-grade hardware with minimal latency. By combining this edge AI capability with a thoughtfully designed full-stack web application, Internixa creates a closed-loop learning ecosystem where every second of content delivery is tied to a verified moment of student attention.</w:t>
      </w:r>
    </w:p>
    <w:p>
      <w:pPr>
        <w:spacing w:before="240" w:after="120" w:line="360" w:lineRule="exact"/>
        <w:jc w:val="left"/>
      </w:pPr>
      <w:r>
        <w:rPr>
          <w:rFonts w:ascii="Times New Roman" w:hAnsi="Times New Roman"/>
          <w:b/>
          <w:i w:val="0"/>
          <w:sz w:val="24"/>
        </w:rPr>
        <w:t>1.2  Problem Statement</w:t>
      </w:r>
    </w:p>
    <w:p>
      <w:pPr>
        <w:spacing w:before="0" w:after="120" w:line="360" w:lineRule="exact"/>
        <w:jc w:val="both"/>
      </w:pPr>
      <w:r>
        <w:rPr>
          <w:rFonts w:ascii="Times New Roman" w:hAnsi="Times New Roman"/>
          <w:b w:val="0"/>
          <w:i w:val="0"/>
          <w:sz w:val="24"/>
        </w:rPr>
        <w:t>The central problem Internixa addresses is the absence of real-time, verifiable engagement enforcement in contemporary e-learning platforms. Existing systems issue certificates and track progress based on watch-time metrics alone, creating a system that is trivially gameable and fundamentally unable to distinguish between a student who has genuinely mastered a subject and one who has merely allowed a video to play to completion in the background. This represents not only an academic integrity failure but also a disservice to learners themselves, who may receive credentials without having acquired the corresponding competencies.</w:t>
      </w:r>
    </w:p>
    <w:p>
      <w:pPr>
        <w:spacing w:before="0" w:after="120" w:line="360" w:lineRule="exact"/>
        <w:jc w:val="both"/>
      </w:pPr>
      <w:r>
        <w:rPr>
          <w:rFonts w:ascii="Times New Roman" w:hAnsi="Times New Roman"/>
          <w:b w:val="0"/>
          <w:i w:val="0"/>
          <w:sz w:val="24"/>
        </w:rPr>
        <w:t>A secondary and equally significant problem is the quality of AI assistance available within learning platforms. Generic AI chatbots — while capable of answering broad questions — are prone to hallucination and frequently provide answers that are irrelevant to, or inconsistent with, the specific course being studied. A student asking "What is a primary key?" during a database course should receive an explanation grounded in the exact pedagogical framing used by their instructor, not a generic internet-sourced definition. The absence of context-locked, course-grounded AI assistance undermines both the accuracy and the academic integrity of AI-supported learning.</w:t>
      </w:r>
    </w:p>
    <w:p>
      <w:pPr>
        <w:spacing w:before="0" w:after="120" w:line="360" w:lineRule="exact"/>
        <w:jc w:val="both"/>
      </w:pPr>
      <w:r>
        <w:rPr>
          <w:rFonts w:ascii="Times New Roman" w:hAnsi="Times New Roman"/>
          <w:b w:val="0"/>
          <w:i w:val="0"/>
          <w:sz w:val="24"/>
        </w:rPr>
        <w:t>Furthermore, the motivational architecture of most e-learning platforms is insufficiently engaging. Platforms that rely solely on linear content delivery without gamification, social comparison, or dynamic reward mechanisms suffer from low retention rates and poor long-term engagement. The integration of competitive elements — such as leaderboards grounded in verified engagement metrics rather than mere watch-time — provides a psychologically robust incentive structure that aligns student motivation with genuine learning behaviours. Internixa addresses all three of these interconnected problems within a single, cohesive platform architecture.</w:t>
      </w:r>
    </w:p>
    <w:p>
      <w:pPr>
        <w:spacing w:before="240" w:after="120" w:line="360" w:lineRule="exact"/>
        <w:jc w:val="left"/>
      </w:pPr>
      <w:r>
        <w:rPr>
          <w:rFonts w:ascii="Times New Roman" w:hAnsi="Times New Roman"/>
          <w:b/>
          <w:i w:val="0"/>
          <w:sz w:val="24"/>
        </w:rPr>
        <w:t>1.3  Objectives</w:t>
      </w:r>
    </w:p>
    <w:p>
      <w:pPr>
        <w:spacing w:before="0" w:after="120" w:line="360" w:lineRule="exact"/>
        <w:jc w:val="both"/>
      </w:pPr>
      <w:r>
        <w:rPr>
          <w:rFonts w:ascii="Times New Roman" w:hAnsi="Times New Roman"/>
          <w:b w:val="0"/>
          <w:i w:val="0"/>
          <w:sz w:val="24"/>
        </w:rPr>
        <w:t>The primary objectives of the Internixa project are as follows:</w:t>
      </w:r>
    </w:p>
    <w:p>
      <w:pPr>
        <w:spacing w:before="0" w:after="120" w:line="360" w:lineRule="exact"/>
        <w:jc w:val="both"/>
      </w:pPr>
      <w:r>
        <w:rPr>
          <w:rFonts w:ascii="Times New Roman" w:hAnsi="Times New Roman"/>
          <w:b w:val="0"/>
          <w:i w:val="0"/>
          <w:sz w:val="24"/>
        </w:rPr>
        <w:t>1. Real-Time Attention Monitoring: Implement a browser-native AI monitoring system using MediaPipe Face Mesh that processes the student's live camera feed at 30 FPS with a total inference latency of less than 100 milliseconds, enabling near-instantaneous detection of attention state.</w:t>
      </w:r>
    </w:p>
    <w:p>
      <w:pPr>
        <w:spacing w:before="0" w:after="120" w:line="360" w:lineRule="exact"/>
        <w:jc w:val="both"/>
      </w:pPr>
      <w:r>
        <w:rPr>
          <w:rFonts w:ascii="Times New Roman" w:hAnsi="Times New Roman"/>
          <w:b w:val="0"/>
          <w:i w:val="0"/>
          <w:sz w:val="24"/>
        </w:rPr>
        <w:t>2. Intelligent Video Pause/Resume: Develop a state-machine logic layer that automatically pauses the course video upon confirmed distraction (EAR &lt; 0.20 for ≥3 frames or gaze deviation &gt; 35% of inter-eye width) and resumes it seamlessly when active attention is restored.</w:t>
      </w:r>
    </w:p>
    <w:p>
      <w:pPr>
        <w:spacing w:before="0" w:after="120" w:line="360" w:lineRule="exact"/>
        <w:jc w:val="both"/>
      </w:pPr>
      <w:r>
        <w:rPr>
          <w:rFonts w:ascii="Times New Roman" w:hAnsi="Times New Roman"/>
          <w:b w:val="0"/>
          <w:i w:val="0"/>
          <w:sz w:val="24"/>
        </w:rPr>
        <w:t>3. Context-Locked AI Chatbot: Build a Retrieval-Augmented Generation (RAG) pipeline using Pinecone vector embeddings and Google Gemini 1.5 Flash that restricts all AI responses strictly to course transcript content, eliminating out-of-scope hallucinations.</w:t>
      </w:r>
    </w:p>
    <w:p>
      <w:pPr>
        <w:spacing w:before="0" w:after="120" w:line="360" w:lineRule="exact"/>
        <w:jc w:val="both"/>
      </w:pPr>
      <w:r>
        <w:rPr>
          <w:rFonts w:ascii="Times New Roman" w:hAnsi="Times New Roman"/>
          <w:b w:val="0"/>
          <w:i w:val="0"/>
          <w:sz w:val="24"/>
        </w:rPr>
        <w:t>4. Engagement-Gated Certification: Implement a certificate generation system using ReportLab that issues PDF certificates exclusively when a student achieves a verified engagement score of 70% or higher, computed from the ratio of active focus time to total session time.</w:t>
      </w:r>
    </w:p>
    <w:p>
      <w:pPr>
        <w:spacing w:before="0" w:after="120" w:line="360" w:lineRule="exact"/>
        <w:jc w:val="both"/>
      </w:pPr>
      <w:r>
        <w:rPr>
          <w:rFonts w:ascii="Times New Roman" w:hAnsi="Times New Roman"/>
          <w:b w:val="0"/>
          <w:i w:val="0"/>
          <w:sz w:val="24"/>
        </w:rPr>
        <w:t>5. Gamification via Focus Points: Design and implement a Focus Points (FP) scoring algorithm that rewards genuine engagement, course interactions, puzzle completions, and meeting participation, feeding a real-time competitive leaderboard.</w:t>
      </w:r>
    </w:p>
    <w:p>
      <w:pPr>
        <w:spacing w:before="0" w:after="120" w:line="360" w:lineRule="exact"/>
        <w:jc w:val="both"/>
      </w:pPr>
      <w:r>
        <w:rPr>
          <w:rFonts w:ascii="Times New Roman" w:hAnsi="Times New Roman"/>
          <w:b w:val="0"/>
          <w:i w:val="0"/>
          <w:sz w:val="24"/>
        </w:rPr>
        <w:t>6. Live Collaborative Meetings: Build a WebRTC-based multi-participant video meeting system with Socket.IO signaling, providing hosts with a real-time engagement analytics HUD showing per-participant attention metrics.</w:t>
      </w:r>
    </w:p>
    <w:p>
      <w:pPr>
        <w:spacing w:before="0" w:after="120" w:line="360" w:lineRule="exact"/>
        <w:jc w:val="both"/>
      </w:pPr>
      <w:r>
        <w:rPr>
          <w:rFonts w:ascii="Times New Roman" w:hAnsi="Times New Roman"/>
          <w:b w:val="0"/>
          <w:i w:val="0"/>
          <w:sz w:val="24"/>
        </w:rPr>
        <w:t>7. Smart Study Sheets: Integrate Gemini-powered transcript summarization to automatically generate concise, high-priority study sheets from course content upon session completion.</w:t>
      </w:r>
    </w:p>
    <w:p>
      <w:pPr>
        <w:spacing w:before="0" w:after="120" w:line="360" w:lineRule="exact"/>
        <w:jc w:val="both"/>
      </w:pPr>
      <w:r>
        <w:rPr>
          <w:rFonts w:ascii="Times New Roman" w:hAnsi="Times New Roman"/>
          <w:b w:val="0"/>
          <w:i w:val="0"/>
          <w:sz w:val="24"/>
        </w:rPr>
        <w:t>8. Recruiter Portal: Develop a dedicated portal for recruiters to post and manage internship opportunities, with student applicant tracking integrated into the platform's user management system.</w:t>
      </w:r>
    </w:p>
    <w:p>
      <w:r>
        <w:br w:type="page"/>
      </w:r>
    </w:p>
    <w:p>
      <w:pPr>
        <w:spacing w:before="480" w:after="80" w:line="360" w:lineRule="exact"/>
        <w:jc w:val="center"/>
      </w:pPr>
      <w:r>
        <w:rPr>
          <w:rFonts w:ascii="Times New Roman" w:hAnsi="Times New Roman"/>
          <w:b/>
          <w:i w:val="0"/>
          <w:sz w:val="28"/>
        </w:rPr>
        <w:t>CHAPTER 2</w:t>
      </w:r>
    </w:p>
    <w:p>
      <w:pPr>
        <w:spacing w:before="0" w:after="360" w:line="360" w:lineRule="exact"/>
        <w:jc w:val="center"/>
      </w:pPr>
      <w:r>
        <w:rPr>
          <w:rFonts w:ascii="Times New Roman" w:hAnsi="Times New Roman"/>
          <w:b/>
          <w:i w:val="0"/>
          <w:sz w:val="28"/>
        </w:rPr>
        <w:t>LITERATURE REVIEW</w:t>
      </w:r>
    </w:p>
    <w:p>
      <w:pPr>
        <w:spacing w:before="240" w:after="120" w:line="360" w:lineRule="exact"/>
        <w:jc w:val="left"/>
      </w:pPr>
      <w:r>
        <w:rPr>
          <w:rFonts w:ascii="Times New Roman" w:hAnsi="Times New Roman"/>
          <w:b/>
          <w:i w:val="0"/>
          <w:sz w:val="24"/>
        </w:rPr>
        <w:t>2.1  Introduction to Literature Review</w:t>
      </w:r>
    </w:p>
    <w:p>
      <w:pPr>
        <w:spacing w:before="0" w:after="120" w:line="360" w:lineRule="exact"/>
        <w:jc w:val="both"/>
      </w:pPr>
      <w:r>
        <w:rPr>
          <w:rFonts w:ascii="Times New Roman" w:hAnsi="Times New Roman"/>
          <w:b w:val="0"/>
          <w:i w:val="0"/>
          <w:sz w:val="24"/>
        </w:rPr>
        <w:t>The design and implementation of Internixa draws upon a broad and interdisciplinary body of existing research, spanning computer vision, cognitive psychology, natural language processing, real-time web communications, and educational technology. This chapter presents a structured review of the foundational works and existing systems that directly informed the technical and pedagogical decisions made throughout the development of this platform. By situating Internixa within the context of prior art, this review both acknowledges the intellectual lineage of the project's core technologies and identifies the specific gaps and limitations in existing approaches that Internixa is designed to address.</w:t>
      </w:r>
    </w:p>
    <w:p>
      <w:pPr>
        <w:spacing w:before="0" w:after="120" w:line="360" w:lineRule="exact"/>
        <w:jc w:val="both"/>
      </w:pPr>
      <w:r>
        <w:rPr>
          <w:rFonts w:ascii="Times New Roman" w:hAnsi="Times New Roman"/>
          <w:b w:val="0"/>
          <w:i w:val="0"/>
          <w:sz w:val="24"/>
        </w:rPr>
        <w:t>The review is organised thematically across six domains: facial landmark detection and eye-based attention monitoring, engagement and dropout patterns in MOOC platforms, retrieval-augmented generation for grounded AI responses, real-time browser-based communication protocols, gamification theory and its application to e-learning, and existing AI-integrated educational platform solutions. Each domain is examined critically, with an emphasis on both the contributions and the limitations of existing work relative to the requirements of a real-time, browser-native, AI-enforced learning environment.</w:t>
      </w:r>
    </w:p>
    <w:p>
      <w:pPr>
        <w:spacing w:before="240" w:after="120" w:line="360" w:lineRule="exact"/>
        <w:jc w:val="left"/>
      </w:pPr>
      <w:r>
        <w:rPr>
          <w:rFonts w:ascii="Times New Roman" w:hAnsi="Times New Roman"/>
          <w:b/>
          <w:i w:val="0"/>
          <w:sz w:val="24"/>
        </w:rPr>
        <w:t>2.2  Review of Existing Work</w:t>
      </w:r>
    </w:p>
    <w:p>
      <w:pPr>
        <w:spacing w:before="160" w:after="80" w:line="360" w:lineRule="exact"/>
        <w:jc w:val="left"/>
      </w:pPr>
      <w:r>
        <w:rPr>
          <w:rFonts w:ascii="Times New Roman" w:hAnsi="Times New Roman"/>
          <w:b/>
          <w:i/>
          <w:sz w:val="24"/>
        </w:rPr>
        <w:t>2.2.1  MediaPipe Face Mesh — Google (2020)</w:t>
      </w:r>
    </w:p>
    <w:p>
      <w:pPr>
        <w:spacing w:before="0" w:after="120" w:line="360" w:lineRule="exact"/>
        <w:jc w:val="both"/>
      </w:pPr>
      <w:r>
        <w:rPr>
          <w:rFonts w:ascii="Times New Roman" w:hAnsi="Times New Roman"/>
          <w:b w:val="0"/>
          <w:i w:val="0"/>
          <w:sz w:val="24"/>
        </w:rPr>
        <w:t>Google's MediaPipe Face Mesh (Kartynnik et al., 2019) is a high-fidelity, real-time facial landmark detection pipeline that estimates 468 three-dimensional facial landmarks from a single RGB camera frame. The architecture employs a lightweight convolutional neural network that has been specifically optimised for deployment on mobile and embedded devices, achieving inference speeds of approximately 30 FPS on standard consumer hardware. The landmark coordinates are normalised to the face bounding box, providing robustness against variation in camera distance and face size. Internixa's attention monitoring module relies entirely on MediaPipe Face Mesh as its foundational perception layer, utilising specific landmark indices to compute the Eye Aspect Ratio and gaze deviation metrics that form the basis of the platform's engagement enforcement logic.</w:t>
      </w:r>
    </w:p>
    <w:p>
      <w:pPr>
        <w:spacing w:before="0" w:after="120" w:line="360" w:lineRule="exact"/>
        <w:jc w:val="both"/>
      </w:pPr>
      <w:r>
        <w:rPr>
          <w:rFonts w:ascii="Times New Roman" w:hAnsi="Times New Roman"/>
          <w:b w:val="0"/>
          <w:i w:val="0"/>
          <w:sz w:val="24"/>
        </w:rPr>
        <w:t>The key innovation of MediaPipe Face Mesh relevant to Internixa is its browser-native deployment via the MediaPipe JavaScript library. Unlike previous facial analysis systems that required server-side inference, MediaPipe operates entirely within the client browser using WebAssembly and WebGL acceleration. This edge deployment model ensures that sensitive student video data never leaves the student's device — only derived attention metadata (a boolean attention state and an engagement score) is transmitted to the backend. This privacy-preserving architecture was a critical design requirement for Internixa.</w:t>
      </w:r>
    </w:p>
    <w:p>
      <w:pPr>
        <w:spacing w:before="160" w:after="80" w:line="360" w:lineRule="exact"/>
        <w:jc w:val="left"/>
      </w:pPr>
      <w:r>
        <w:rPr>
          <w:rFonts w:ascii="Times New Roman" w:hAnsi="Times New Roman"/>
          <w:b/>
          <w:i/>
          <w:sz w:val="24"/>
        </w:rPr>
        <w:t>2.2.2  Eye Aspect Ratio — Soukupova &amp; Cech (2016)</w:t>
      </w:r>
    </w:p>
    <w:p>
      <w:pPr>
        <w:spacing w:before="0" w:after="120" w:line="360" w:lineRule="exact"/>
        <w:jc w:val="both"/>
      </w:pPr>
      <w:r>
        <w:rPr>
          <w:rFonts w:ascii="Times New Roman" w:hAnsi="Times New Roman"/>
          <w:b w:val="0"/>
          <w:i w:val="0"/>
          <w:sz w:val="24"/>
        </w:rPr>
        <w:t>The Eye Aspect Ratio (EAR) metric, introduced by Soukupova and Cech in their 2016 paper "Real-Time Eye Blink Detection using Facial Landmarks," provides a computationally efficient scalar measure of eye openness derived from six facial landmark coordinates. The formula computes the ratio of the sum of two vertical eyelid distances to twice the horizontal eye width, yielding a value close to 0.3 for a fully open eye and approaching zero upon eye closure. The authors demonstrated that a threshold-based approach — flagging blink events when EAR drops below 0.20 for three or more consecutive frames — achieves high precision in real-world conditions with minimal false positives.</w:t>
      </w:r>
    </w:p>
    <w:p>
      <w:pPr>
        <w:spacing w:before="0" w:after="120" w:line="360" w:lineRule="exact"/>
        <w:jc w:val="both"/>
      </w:pPr>
      <w:r>
        <w:rPr>
          <w:rFonts w:ascii="Times New Roman" w:hAnsi="Times New Roman"/>
          <w:b w:val="0"/>
          <w:i w:val="0"/>
          <w:sz w:val="24"/>
        </w:rPr>
        <w:t>Internixa directly implements the EAR formula using MediaPipe's landmark indices, adapting the original work's six-point model to MediaPipe's 468-point mesh. The threshold values (EAR &lt; 0.20, duration ≥ 3 frames) were retained from the original paper and validated experimentally during the platform's testing phase. The EAR metric serves as the primary blink and eye-closure detector within Internixa's attention state machine.</w:t>
      </w:r>
    </w:p>
    <w:p>
      <w:pPr>
        <w:spacing w:before="160" w:after="80" w:line="360" w:lineRule="exact"/>
        <w:jc w:val="left"/>
      </w:pPr>
      <w:r>
        <w:rPr>
          <w:rFonts w:ascii="Times New Roman" w:hAnsi="Times New Roman"/>
          <w:b/>
          <w:i/>
          <w:sz w:val="24"/>
        </w:rPr>
        <w:t>2.2.3  MOOC Engagement &amp; Dropout Research</w:t>
      </w:r>
    </w:p>
    <w:p>
      <w:pPr>
        <w:spacing w:before="0" w:after="120" w:line="360" w:lineRule="exact"/>
        <w:jc w:val="both"/>
      </w:pPr>
      <w:r>
        <w:rPr>
          <w:rFonts w:ascii="Times New Roman" w:hAnsi="Times New Roman"/>
          <w:b w:val="0"/>
          <w:i w:val="0"/>
          <w:sz w:val="24"/>
        </w:rPr>
        <w:t>A substantial body of educational research has documented the persistent challenge of student engagement and completion in online courses. Jordan (2015) conducted a comprehensive meta-analysis of completion rates across 221 MOOC offerings, finding a median completion rate of just 12.6%, with rates as low as 3% for some platforms. Kizilcec, Piech, and Schneider (2013) identified four distinct engagement archetypes among MOOC learners — completing, auditing, disengaging, and sampling — with the majority of enrolled students falling into the latter two categories, suggesting that passive enrolment without active engagement is the norm rather than the exception. These findings provide strong empirical justification for Internixa's core premise: that passive content delivery without engagement enforcement produces measurably poor educational outcomes.</w:t>
      </w:r>
    </w:p>
    <w:p>
      <w:pPr>
        <w:spacing w:before="0" w:after="120" w:line="360" w:lineRule="exact"/>
        <w:jc w:val="both"/>
      </w:pPr>
      <w:r>
        <w:rPr>
          <w:rFonts w:ascii="Times New Roman" w:hAnsi="Times New Roman"/>
          <w:b w:val="0"/>
          <w:i w:val="0"/>
          <w:sz w:val="24"/>
        </w:rPr>
        <w:t>Research by Deci and Ryan (2000) on Self-Determination Theory further informs Internixa's gamification design. Their framework identifies autonomy, competence, and relatedness as the three fundamental psychological needs that drive intrinsic motivation. Internixa's Focus Points system and leaderboard address the competence and relatedness dimensions by providing students with concrete, verifiable measures of their engagement performance and situating individual performance within a social comparison context.</w:t>
      </w:r>
    </w:p>
    <w:p>
      <w:pPr>
        <w:spacing w:before="160" w:after="80" w:line="360" w:lineRule="exact"/>
        <w:jc w:val="left"/>
      </w:pPr>
      <w:r>
        <w:rPr>
          <w:rFonts w:ascii="Times New Roman" w:hAnsi="Times New Roman"/>
          <w:b/>
          <w:i/>
          <w:sz w:val="24"/>
        </w:rPr>
        <w:t>2.2.4  Retrieval-Augmented Generation — Lewis et al. (2020)</w:t>
      </w:r>
    </w:p>
    <w:p>
      <w:pPr>
        <w:spacing w:before="0" w:after="120" w:line="360" w:lineRule="exact"/>
        <w:jc w:val="both"/>
      </w:pPr>
      <w:r>
        <w:rPr>
          <w:rFonts w:ascii="Times New Roman" w:hAnsi="Times New Roman"/>
          <w:b w:val="0"/>
          <w:i w:val="0"/>
          <w:sz w:val="24"/>
        </w:rPr>
        <w:t>Lewis et al. (2020) introduced the Retrieval-Augmented Generation (RAG) paradigm in their NeurIPS paper, demonstrating that the factual accuracy and groundedness of large language model responses could be dramatically improved by conditioning generation on documents retrieved from an external knowledge store. The RAG framework combines a dense passage retrieval component (using approximate nearest-neighbour search over pre-computed embeddings) with a sequence-to-sequence generation model, enabling the system to produce responses that are both fluent and faithful to a specific corpus of source documents.</w:t>
      </w:r>
    </w:p>
    <w:p>
      <w:pPr>
        <w:spacing w:before="0" w:after="120" w:line="360" w:lineRule="exact"/>
        <w:jc w:val="both"/>
      </w:pPr>
      <w:r>
        <w:rPr>
          <w:rFonts w:ascii="Times New Roman" w:hAnsi="Times New Roman"/>
          <w:b w:val="0"/>
          <w:i w:val="0"/>
          <w:sz w:val="24"/>
        </w:rPr>
        <w:t>Internixa implements a production RAG pipeline adapted from this framework. Course video transcripts are chunked into 500-character segments with 50-character overlaps, embedded using Google's text-embedding-004 model to produce 768-dimensional vectors, and indexed in a Pinecone serverless vector database. At query time, the student's question is embedded using the same model, and cosine similarity search retrieves the top-three most relevant transcript chunks. These chunks are injected into a structured prompt template that explicitly instructs the Gemini 1.5 Flash model to answer based only on the provided context, effectively eliminating out-of-scope hallucinations.</w:t>
      </w:r>
    </w:p>
    <w:p>
      <w:pPr>
        <w:spacing w:before="160" w:after="80" w:line="360" w:lineRule="exact"/>
        <w:jc w:val="left"/>
      </w:pPr>
      <w:r>
        <w:rPr>
          <w:rFonts w:ascii="Times New Roman" w:hAnsi="Times New Roman"/>
          <w:b/>
          <w:i/>
          <w:sz w:val="24"/>
        </w:rPr>
        <w:t>2.2.5  WebRTC — W3C Standard (2021)</w:t>
      </w:r>
    </w:p>
    <w:p>
      <w:pPr>
        <w:spacing w:before="0" w:after="120" w:line="360" w:lineRule="exact"/>
        <w:jc w:val="both"/>
      </w:pPr>
      <w:r>
        <w:rPr>
          <w:rFonts w:ascii="Times New Roman" w:hAnsi="Times New Roman"/>
          <w:b w:val="0"/>
          <w:i w:val="0"/>
          <w:sz w:val="24"/>
        </w:rPr>
        <w:t>Web Real-Time Communication (WebRTC) is a W3C and IETF standard that enables browser-to-browser audio, video, and data streaming without requiring plugins or native applications. The WebRTC architecture employs Interactive Connectivity Establishment (ICE) with STUN (Session Traversal Utilities for NAT) servers to negotiate peer-to-peer connections across Network Address Translation (NAT) boundaries. Session Description Protocol (SDP) is used to negotiate codec parameters and media formats during the offer/answer handshake. Internixa's meeting module builds a full-mesh peer topology using WebRTC RTCPeerConnection objects, with Socket.IO serving as the signaling channel for SDP and ICE candidate exchange.</w:t>
      </w:r>
    </w:p>
    <w:p>
      <w:pPr>
        <w:spacing w:before="160" w:after="80" w:line="360" w:lineRule="exact"/>
        <w:jc w:val="left"/>
      </w:pPr>
      <w:r>
        <w:rPr>
          <w:rFonts w:ascii="Times New Roman" w:hAnsi="Times New Roman"/>
          <w:b/>
          <w:i/>
          <w:sz w:val="24"/>
        </w:rPr>
        <w:t>2.2.6  Gamification in E-Learning — Deterding et al. (2011)</w:t>
      </w:r>
    </w:p>
    <w:p>
      <w:pPr>
        <w:spacing w:before="0" w:after="120" w:line="360" w:lineRule="exact"/>
        <w:jc w:val="both"/>
      </w:pPr>
      <w:r>
        <w:rPr>
          <w:rFonts w:ascii="Times New Roman" w:hAnsi="Times New Roman"/>
          <w:b w:val="0"/>
          <w:i w:val="0"/>
          <w:sz w:val="24"/>
        </w:rPr>
        <w:t>Deterding, Dixon, Khaled, and Nacke (2011) provided the foundational academic definition of gamification as "the use of game design elements in non-game contexts," distinguishing it from game-like simulations and toy interfaces. Their Points-Badges-Leaderboards (PBL) framework has since been extensively studied in educational contexts. Hamari, Koivisto, and Sarsa (2014) conducted a systematic literature review of gamification studies, finding that the majority reported positive effects on engagement and motivation, particularly in learning environments. Internixa's Focus Points system implements a PBL-inspired design, awarding points for verified engagement behaviours and displaying competitive rankings on a real-time leaderboard.</w:t>
      </w:r>
    </w:p>
    <w:p>
      <w:pPr>
        <w:spacing w:before="240" w:after="120" w:line="360" w:lineRule="exact"/>
        <w:jc w:val="left"/>
      </w:pPr>
      <w:r>
        <w:rPr>
          <w:rFonts w:ascii="Times New Roman" w:hAnsi="Times New Roman"/>
          <w:b/>
          <w:i w:val="0"/>
          <w:sz w:val="24"/>
        </w:rPr>
        <w:t>2.3  Comparative Analysis</w:t>
      </w:r>
    </w:p>
    <w:p>
      <w:pPr>
        <w:spacing w:before="160" w:after="80" w:line="360" w:lineRule="exact"/>
        <w:jc w:val="center"/>
      </w:pPr>
      <w:r>
        <w:rPr>
          <w:rFonts w:ascii="Times New Roman" w:hAnsi="Times New Roman"/>
          <w:b/>
          <w:i/>
          <w:sz w:val="22"/>
        </w:rPr>
        <w:t>Table 2.1 – Comparative Analysis of E-Learning Platforms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fill="BFD7FF" w:val="clear"/>
          </w:tcPr>
          <w:p>
            <w:r>
              <w:rPr>
                <w:b/>
                <w:sz w:val="18"/>
              </w:rPr>
              <w:t>Feature</w:t>
            </w:r>
          </w:p>
        </w:tc>
        <w:tc>
          <w:tcPr>
            <w:tcW w:type="dxa" w:w="1734"/>
            <w:shd w:fill="BFD7FF" w:val="clear"/>
          </w:tcPr>
          <w:p>
            <w:r>
              <w:rPr>
                <w:b/>
                <w:sz w:val="18"/>
              </w:rPr>
              <w:t>Coursera</w:t>
            </w:r>
          </w:p>
        </w:tc>
        <w:tc>
          <w:tcPr>
            <w:tcW w:type="dxa" w:w="1734"/>
            <w:shd w:fill="BFD7FF" w:val="clear"/>
          </w:tcPr>
          <w:p>
            <w:r>
              <w:rPr>
                <w:b/>
                <w:sz w:val="18"/>
              </w:rPr>
              <w:t>Udemy</w:t>
            </w:r>
          </w:p>
        </w:tc>
        <w:tc>
          <w:tcPr>
            <w:tcW w:type="dxa" w:w="1734"/>
            <w:shd w:fill="BFD7FF" w:val="clear"/>
          </w:tcPr>
          <w:p>
            <w:r>
              <w:rPr>
                <w:b/>
                <w:sz w:val="18"/>
              </w:rPr>
              <w:t>Google Classroom</w:t>
            </w:r>
          </w:p>
        </w:tc>
        <w:tc>
          <w:tcPr>
            <w:tcW w:type="dxa" w:w="1734"/>
            <w:shd w:fill="BFD7FF" w:val="clear"/>
          </w:tcPr>
          <w:p>
            <w:r>
              <w:rPr>
                <w:b/>
                <w:sz w:val="18"/>
              </w:rPr>
              <w:t>INTERNIXA</w:t>
            </w:r>
          </w:p>
        </w:tc>
      </w:tr>
      <w:tr>
        <w:tc>
          <w:tcPr>
            <w:tcW w:type="dxa" w:w="1734"/>
          </w:tcPr>
          <w:p>
            <w:r>
              <w:rPr>
                <w:sz w:val="18"/>
              </w:rPr>
              <w:t>AI Attention Monitoring</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(MediaPipe)</w:t>
            </w:r>
          </w:p>
        </w:tc>
      </w:tr>
      <w:tr>
        <w:tc>
          <w:tcPr>
            <w:tcW w:type="dxa" w:w="1734"/>
          </w:tcPr>
          <w:p>
            <w:r>
              <w:rPr>
                <w:sz w:val="18"/>
              </w:rPr>
              <w:t>Auto Video Pause on Distraction</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w:t>
            </w:r>
          </w:p>
        </w:tc>
      </w:tr>
      <w:tr>
        <w:tc>
          <w:tcPr>
            <w:tcW w:type="dxa" w:w="1734"/>
          </w:tcPr>
          <w:p>
            <w:r>
              <w:rPr>
                <w:sz w:val="18"/>
              </w:rPr>
              <w:t>Context-Locked AI Chatbot</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(RAG + Gemini)</w:t>
            </w:r>
          </w:p>
        </w:tc>
      </w:tr>
      <w:tr>
        <w:tc>
          <w:tcPr>
            <w:tcW w:type="dxa" w:w="1734"/>
          </w:tcPr>
          <w:p>
            <w:r>
              <w:rPr>
                <w:sz w:val="18"/>
              </w:rPr>
              <w:t>Engagement-Based Certificate</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(≥70% Focus)</w:t>
            </w:r>
          </w:p>
        </w:tc>
      </w:tr>
      <w:tr>
        <w:tc>
          <w:tcPr>
            <w:tcW w:type="dxa" w:w="1734"/>
          </w:tcPr>
          <w:p>
            <w:r>
              <w:rPr>
                <w:sz w:val="18"/>
              </w:rPr>
              <w:t>Gamification (Points/Leaderboard)</w:t>
            </w:r>
          </w:p>
        </w:tc>
        <w:tc>
          <w:tcPr>
            <w:tcW w:type="dxa" w:w="1734"/>
          </w:tcPr>
          <w:p>
            <w:r>
              <w:rPr>
                <w:sz w:val="18"/>
              </w:rPr>
              <w:t>Partial</w:t>
            </w:r>
          </w:p>
        </w:tc>
        <w:tc>
          <w:tcPr>
            <w:tcW w:type="dxa" w:w="1734"/>
          </w:tcPr>
          <w:p>
            <w:r>
              <w:rPr>
                <w:sz w:val="18"/>
              </w:rPr>
              <w:t>✗</w:t>
            </w:r>
          </w:p>
        </w:tc>
        <w:tc>
          <w:tcPr>
            <w:tcW w:type="dxa" w:w="1734"/>
          </w:tcPr>
          <w:p>
            <w:r>
              <w:rPr>
                <w:sz w:val="18"/>
              </w:rPr>
              <w:t>✗</w:t>
            </w:r>
          </w:p>
        </w:tc>
        <w:tc>
          <w:tcPr>
            <w:tcW w:type="dxa" w:w="1734"/>
          </w:tcPr>
          <w:p>
            <w:r>
              <w:rPr>
                <w:sz w:val="18"/>
              </w:rPr>
              <w:t>✓ (Focus Points)</w:t>
            </w:r>
          </w:p>
        </w:tc>
      </w:tr>
      <w:tr>
        <w:tc>
          <w:tcPr>
            <w:tcW w:type="dxa" w:w="1734"/>
          </w:tcPr>
          <w:p>
            <w:r>
              <w:rPr>
                <w:sz w:val="18"/>
              </w:rPr>
              <w:t>Live Video Meetings</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(WebRTC)</w:t>
            </w:r>
          </w:p>
        </w:tc>
      </w:tr>
      <w:tr>
        <w:tc>
          <w:tcPr>
            <w:tcW w:type="dxa" w:w="1734"/>
          </w:tcPr>
          <w:p>
            <w:r>
              <w:rPr>
                <w:sz w:val="18"/>
              </w:rPr>
              <w:t>Real-Time Engagement Analytics</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(Host HUD)</w:t>
            </w:r>
          </w:p>
        </w:tc>
      </w:tr>
      <w:tr>
        <w:tc>
          <w:tcPr>
            <w:tcW w:type="dxa" w:w="1734"/>
          </w:tcPr>
          <w:p>
            <w:r>
              <w:rPr>
                <w:sz w:val="18"/>
              </w:rPr>
              <w:t>Smart AI Study Sheets</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(Gemini)</w:t>
            </w:r>
          </w:p>
        </w:tc>
      </w:tr>
      <w:tr>
        <w:tc>
          <w:tcPr>
            <w:tcW w:type="dxa" w:w="1734"/>
          </w:tcPr>
          <w:p>
            <w:r>
              <w:rPr>
                <w:sz w:val="18"/>
              </w:rPr>
              <w:t>Recruiter Portal</w:t>
            </w:r>
          </w:p>
        </w:tc>
        <w:tc>
          <w:tcPr>
            <w:tcW w:type="dxa" w:w="1734"/>
          </w:tcPr>
          <w:p>
            <w:r>
              <w:rPr>
                <w:sz w:val="18"/>
              </w:rPr>
              <w:t>✗</w:t>
            </w:r>
          </w:p>
        </w:tc>
        <w:tc>
          <w:tcPr>
            <w:tcW w:type="dxa" w:w="1734"/>
          </w:tcPr>
          <w:p>
            <w:r>
              <w:rPr>
                <w:sz w:val="18"/>
              </w:rPr>
              <w:t>Partial</w:t>
            </w:r>
          </w:p>
        </w:tc>
        <w:tc>
          <w:tcPr>
            <w:tcW w:type="dxa" w:w="1734"/>
          </w:tcPr>
          <w:p>
            <w:r>
              <w:rPr>
                <w:sz w:val="18"/>
              </w:rPr>
              <w:t>✗</w:t>
            </w:r>
          </w:p>
        </w:tc>
        <w:tc>
          <w:tcPr>
            <w:tcW w:type="dxa" w:w="1734"/>
          </w:tcPr>
          <w:p>
            <w:r>
              <w:rPr>
                <w:sz w:val="18"/>
              </w:rPr>
              <w:t>✓</w:t>
            </w:r>
          </w:p>
        </w:tc>
      </w:tr>
      <w:tr>
        <w:tc>
          <w:tcPr>
            <w:tcW w:type="dxa" w:w="1734"/>
          </w:tcPr>
          <w:p>
            <w:r>
              <w:rPr>
                <w:sz w:val="18"/>
              </w:rPr>
              <w:t>Privacy-Preserving Edge AI</w:t>
            </w:r>
          </w:p>
        </w:tc>
        <w:tc>
          <w:tcPr>
            <w:tcW w:type="dxa" w:w="1734"/>
          </w:tcPr>
          <w:p>
            <w:r>
              <w:rPr>
                <w:sz w:val="18"/>
              </w:rPr>
              <w:t>N/A</w:t>
            </w:r>
          </w:p>
        </w:tc>
        <w:tc>
          <w:tcPr>
            <w:tcW w:type="dxa" w:w="1734"/>
          </w:tcPr>
          <w:p>
            <w:r>
              <w:rPr>
                <w:sz w:val="18"/>
              </w:rPr>
              <w:t>N/A</w:t>
            </w:r>
          </w:p>
        </w:tc>
        <w:tc>
          <w:tcPr>
            <w:tcW w:type="dxa" w:w="1734"/>
          </w:tcPr>
          <w:p>
            <w:r>
              <w:rPr>
                <w:sz w:val="18"/>
              </w:rPr>
              <w:t>N/A</w:t>
            </w:r>
          </w:p>
        </w:tc>
        <w:tc>
          <w:tcPr>
            <w:tcW w:type="dxa" w:w="1734"/>
          </w:tcPr>
          <w:p>
            <w:r>
              <w:rPr>
                <w:sz w:val="18"/>
              </w:rPr>
              <w:t>✓ (On-device)</w:t>
            </w:r>
          </w:p>
        </w:tc>
      </w:tr>
    </w:tbl>
    <w:p/>
    <w:p>
      <w:r>
        <w:br w:type="page"/>
      </w:r>
    </w:p>
    <w:p>
      <w:pPr>
        <w:spacing w:before="480" w:after="80" w:line="360" w:lineRule="exact"/>
        <w:jc w:val="center"/>
      </w:pPr>
      <w:r>
        <w:rPr>
          <w:rFonts w:ascii="Times New Roman" w:hAnsi="Times New Roman"/>
          <w:b/>
          <w:i w:val="0"/>
          <w:sz w:val="28"/>
        </w:rPr>
        <w:t>CHAPTER 3</w:t>
      </w:r>
    </w:p>
    <w:p>
      <w:pPr>
        <w:spacing w:before="0" w:after="360" w:line="360" w:lineRule="exact"/>
        <w:jc w:val="center"/>
      </w:pPr>
      <w:r>
        <w:rPr>
          <w:rFonts w:ascii="Times New Roman" w:hAnsi="Times New Roman"/>
          <w:b/>
          <w:i w:val="0"/>
          <w:sz w:val="28"/>
        </w:rPr>
        <w:t>PROPOSED SYSTEM</w:t>
      </w:r>
    </w:p>
    <w:p>
      <w:pPr>
        <w:spacing w:before="240" w:after="120" w:line="360" w:lineRule="exact"/>
        <w:jc w:val="left"/>
      </w:pPr>
      <w:r>
        <w:rPr>
          <w:rFonts w:ascii="Times New Roman" w:hAnsi="Times New Roman"/>
          <w:b/>
          <w:i w:val="0"/>
          <w:sz w:val="24"/>
        </w:rPr>
        <w:t>3.1  Existing System</w:t>
      </w:r>
    </w:p>
    <w:p>
      <w:pPr>
        <w:spacing w:before="160" w:after="80" w:line="360" w:lineRule="exact"/>
        <w:jc w:val="left"/>
      </w:pPr>
      <w:r>
        <w:rPr>
          <w:rFonts w:ascii="Times New Roman" w:hAnsi="Times New Roman"/>
          <w:b/>
          <w:i/>
          <w:sz w:val="24"/>
        </w:rPr>
        <w:t>3.1.1  Working</w:t>
      </w:r>
    </w:p>
    <w:p>
      <w:pPr>
        <w:spacing w:before="0" w:after="120" w:line="360" w:lineRule="exact"/>
        <w:jc w:val="both"/>
      </w:pPr>
      <w:r>
        <w:rPr>
          <w:rFonts w:ascii="Times New Roman" w:hAnsi="Times New Roman"/>
          <w:b w:val="0"/>
          <w:i w:val="0"/>
          <w:sz w:val="24"/>
        </w:rPr>
        <w:t>Contemporary Learning Management Systems (LMS) such as Moodle, Canvas, and Blackboard — and commercial MOOC platforms such as Coursera and Udemy — operate on a fundamentally passive content delivery model. A typical user journey on these platforms proceeds as follows: the student authenticates, navigates to a course, and initiates video playback through an HTML5 video element hosted on a Content Delivery Network (CDN). The platform logs a video view event upon play initiation and records playback progress at fixed intervals via JavaScript event listeners. Quiz modules, if present, are delivered separately and do not require demonstrable engagement with the video content to unlock.</w:t>
      </w:r>
    </w:p>
    <w:p>
      <w:pPr>
        <w:spacing w:before="0" w:after="120" w:line="360" w:lineRule="exact"/>
        <w:jc w:val="both"/>
      </w:pPr>
      <w:r>
        <w:rPr>
          <w:rFonts w:ascii="Times New Roman" w:hAnsi="Times New Roman"/>
          <w:b w:val="0"/>
          <w:i w:val="0"/>
          <w:sz w:val="24"/>
        </w:rPr>
        <w:t>Content recommendations are generated by collaborative filtering algorithms based on historical consumption patterns, and any AI chatbot assistance is powered by general-purpose language models with no contextual grounding in the specific course material. Certificates are issued automatically once a student completes all modules in the defined course sequence, with completion defined strictly by playback progress rather than any measure of cognitive engagement. The entire system is designed for content delivery efficiency, not learning verification.</w:t>
      </w:r>
    </w:p>
    <w:p>
      <w:pPr>
        <w:jc w:val="center"/>
      </w:pPr>
      <w:r>
        <w:drawing>
          <wp:inline xmlns:a="http://schemas.openxmlformats.org/drawingml/2006/main" xmlns:pic="http://schemas.openxmlformats.org/drawingml/2006/picture">
            <wp:extent cx="5029200" cy="2435437"/>
            <wp:docPr id="2" name="Picture 2"/>
            <wp:cNvGraphicFramePr>
              <a:graphicFrameLocks noChangeAspect="1"/>
            </wp:cNvGraphicFramePr>
            <a:graphic>
              <a:graphicData uri="http://schemas.openxmlformats.org/drawingml/2006/picture">
                <pic:pic>
                  <pic:nvPicPr>
                    <pic:cNvPr id="0" name="fig3_1_traditional.png"/>
                    <pic:cNvPicPr/>
                  </pic:nvPicPr>
                  <pic:blipFill>
                    <a:blip r:embed="rId10"/>
                    <a:stretch>
                      <a:fillRect/>
                    </a:stretch>
                  </pic:blipFill>
                  <pic:spPr>
                    <a:xfrm>
                      <a:off x="0" y="0"/>
                      <a:ext cx="5029200" cy="2435437"/>
                    </a:xfrm>
                    <a:prstGeom prst="rect"/>
                  </pic:spPr>
                </pic:pic>
              </a:graphicData>
            </a:graphic>
          </wp:inline>
        </w:drawing>
      </w:r>
    </w:p>
    <w:p>
      <w:pPr>
        <w:spacing w:before="40" w:after="240" w:line="360" w:lineRule="exact"/>
        <w:jc w:val="center"/>
      </w:pPr>
      <w:r>
        <w:rPr>
          <w:rFonts w:ascii="Times New Roman" w:hAnsi="Times New Roman"/>
          <w:b w:val="0"/>
          <w:i/>
          <w:sz w:val="22"/>
        </w:rPr>
        <w:t>Fig 3.1 – Traditional LMS Architecture</w:t>
      </w:r>
    </w:p>
    <w:p>
      <w:pPr>
        <w:spacing w:before="160" w:after="80" w:line="360" w:lineRule="exact"/>
        <w:jc w:val="left"/>
      </w:pPr>
      <w:r>
        <w:rPr>
          <w:rFonts w:ascii="Times New Roman" w:hAnsi="Times New Roman"/>
          <w:b/>
          <w:i/>
          <w:sz w:val="24"/>
        </w:rPr>
        <w:t>3.1.2  Drawbacks</w:t>
      </w:r>
    </w:p>
    <w:p>
      <w:pPr>
        <w:spacing w:before="0" w:after="120" w:line="360" w:lineRule="exact"/>
        <w:jc w:val="both"/>
      </w:pPr>
      <w:r>
        <w:rPr>
          <w:rFonts w:ascii="Times New Roman" w:hAnsi="Times New Roman"/>
          <w:b w:val="0"/>
          <w:i w:val="0"/>
          <w:sz w:val="24"/>
        </w:rPr>
        <w:t>The passive architecture of existing LMS platforms produces several critical and well-documented drawbacks:</w:t>
      </w:r>
    </w:p>
    <w:p>
      <w:pPr>
        <w:spacing w:before="0" w:after="60" w:line="360" w:lineRule="exact"/>
        <w:jc w:val="left"/>
      </w:pPr>
      <w:r>
        <w:rPr>
          <w:rFonts w:ascii="Times New Roman" w:hAnsi="Times New Roman"/>
          <w:b w:val="0"/>
          <w:i w:val="0"/>
          <w:sz w:val="22"/>
        </w:rPr>
        <w:t xml:space="preserve">  •  No Engagement Enforcement: The platform has no technical mechanism to verify that a student is present and attentive during video playback. A video can be played to completion by an unattended device, earning the student full credit.</w:t>
      </w:r>
    </w:p>
    <w:p>
      <w:pPr>
        <w:spacing w:before="0" w:after="60" w:line="360" w:lineRule="exact"/>
        <w:jc w:val="left"/>
      </w:pPr>
      <w:r>
        <w:rPr>
          <w:rFonts w:ascii="Times New Roman" w:hAnsi="Times New Roman"/>
          <w:b w:val="0"/>
          <w:i w:val="0"/>
          <w:sz w:val="22"/>
        </w:rPr>
        <w:t xml:space="preserve">  •  Generic AI Assistance: AI chatbots on existing platforms (e.g., Coursera's AI Coach) are powered by general-purpose language models that frequently provide answers inconsistent with or contradictory to the specific pedagogical framing of the course material.</w:t>
      </w:r>
    </w:p>
    <w:p>
      <w:pPr>
        <w:spacing w:before="0" w:after="60" w:line="360" w:lineRule="exact"/>
        <w:jc w:val="left"/>
      </w:pPr>
      <w:r>
        <w:rPr>
          <w:rFonts w:ascii="Times New Roman" w:hAnsi="Times New Roman"/>
          <w:b w:val="0"/>
          <w:i w:val="0"/>
          <w:sz w:val="22"/>
        </w:rPr>
        <w:t xml:space="preserve">  •  Unverified Certifications: Certificates issued by major platforms certify only that a student completed a sequence of modules within a defined time window, not that they acquired the corresponding knowledge or demonstrated active engagement.</w:t>
      </w:r>
    </w:p>
    <w:p>
      <w:pPr>
        <w:spacing w:before="0" w:after="60" w:line="360" w:lineRule="exact"/>
        <w:jc w:val="left"/>
      </w:pPr>
      <w:r>
        <w:rPr>
          <w:rFonts w:ascii="Times New Roman" w:hAnsi="Times New Roman"/>
          <w:b w:val="0"/>
          <w:i w:val="0"/>
          <w:sz w:val="22"/>
        </w:rPr>
        <w:t xml:space="preserve">  •  No Collaborative Intelligence: Existing platforms provide no mechanism for instructors to monitor the real-time engagement of participants during live or synchronous sessions, making it impossible to identify disengaged students and intervene proactively.</w:t>
      </w:r>
    </w:p>
    <w:p>
      <w:pPr>
        <w:spacing w:before="0" w:after="60" w:line="360" w:lineRule="exact"/>
        <w:jc w:val="left"/>
      </w:pPr>
      <w:r>
        <w:rPr>
          <w:rFonts w:ascii="Times New Roman" w:hAnsi="Times New Roman"/>
          <w:b w:val="0"/>
          <w:i w:val="0"/>
          <w:sz w:val="22"/>
        </w:rPr>
        <w:t xml:space="preserve">  •  Motivational Architecture Deficiency: Linear content delivery without gamification, competitive elements, or dynamic rewards produces low retention. The absence of social comparison mechanisms removes a powerful intrinsic motivator from the learning experience.</w:t>
      </w:r>
    </w:p>
    <w:p>
      <w:pPr>
        <w:spacing w:before="240" w:after="120" w:line="360" w:lineRule="exact"/>
        <w:jc w:val="left"/>
      </w:pPr>
      <w:r>
        <w:rPr>
          <w:rFonts w:ascii="Times New Roman" w:hAnsi="Times New Roman"/>
          <w:b/>
          <w:i w:val="0"/>
          <w:sz w:val="24"/>
        </w:rPr>
        <w:t>3.2  Proposed System</w:t>
      </w:r>
    </w:p>
    <w:p>
      <w:pPr>
        <w:spacing w:before="160" w:after="80" w:line="360" w:lineRule="exact"/>
        <w:jc w:val="left"/>
      </w:pPr>
      <w:r>
        <w:rPr>
          <w:rFonts w:ascii="Times New Roman" w:hAnsi="Times New Roman"/>
          <w:b/>
          <w:i/>
          <w:sz w:val="24"/>
        </w:rPr>
        <w:t>3.2.1  Overview</w:t>
      </w:r>
    </w:p>
    <w:p>
      <w:pPr>
        <w:spacing w:before="0" w:after="120" w:line="360" w:lineRule="exact"/>
        <w:jc w:val="both"/>
      </w:pPr>
      <w:r>
        <w:rPr>
          <w:rFonts w:ascii="Times New Roman" w:hAnsi="Times New Roman"/>
          <w:b w:val="0"/>
          <w:i w:val="0"/>
          <w:sz w:val="24"/>
        </w:rPr>
        <w:t>Internixa represents a fundamental reimagining of the e-learning platform architecture, replacing the passive content delivery model with a closed-loop AI learning ecosystem in which every component of the platform actively contributes to the verification and reinforcement of genuine student engagement. The system is built around three core pillars: edge-deployed computer vision for real-time attention monitoring, Retrieval-Augmented Generation for context-locked AI assistance, and a gamified reward architecture grounded in verified engagement metrics.</w:t>
      </w:r>
    </w:p>
    <w:p>
      <w:pPr>
        <w:spacing w:before="0" w:after="120" w:line="360" w:lineRule="exact"/>
        <w:jc w:val="both"/>
      </w:pPr>
      <w:r>
        <w:rPr>
          <w:rFonts w:ascii="Times New Roman" w:hAnsi="Times New Roman"/>
          <w:b w:val="0"/>
          <w:i w:val="0"/>
          <w:sz w:val="24"/>
        </w:rPr>
        <w:t>At the architectural level, Internixa is structured as a decoupled, cloud-native application. The React 19 frontend, deployed on Vercel's global edge network, handles all user interaction and all client-side AI processing. The Python FastAPI backend, deployed on Railway's containerised infrastructure, manages authentication, data persistence, certificate generation, and AI orchestration. A Pinecone serverless vector index stores course transcript embeddings, and a MongoDB Atlas cluster provides the primary operational data store. This separation of concerns ensures horizontal scalability, independent deployability, and clear security boundaries.</w:t>
      </w:r>
    </w:p>
    <w:p>
      <w:pPr>
        <w:jc w:val="center"/>
      </w:pPr>
      <w:r>
        <w:drawing>
          <wp:inline xmlns:a="http://schemas.openxmlformats.org/drawingml/2006/main" xmlns:pic="http://schemas.openxmlformats.org/drawingml/2006/picture">
            <wp:extent cx="5029200" cy="3181222"/>
            <wp:docPr id="3" name="Picture 3"/>
            <wp:cNvGraphicFramePr>
              <a:graphicFrameLocks noChangeAspect="1"/>
            </wp:cNvGraphicFramePr>
            <a:graphic>
              <a:graphicData uri="http://schemas.openxmlformats.org/drawingml/2006/picture">
                <pic:pic>
                  <pic:nvPicPr>
                    <pic:cNvPr id="0" name="fig3_2_arch.png"/>
                    <pic:cNvPicPr/>
                  </pic:nvPicPr>
                  <pic:blipFill>
                    <a:blip r:embed="rId11"/>
                    <a:stretch>
                      <a:fillRect/>
                    </a:stretch>
                  </pic:blipFill>
                  <pic:spPr>
                    <a:xfrm>
                      <a:off x="0" y="0"/>
                      <a:ext cx="5029200" cy="3181222"/>
                    </a:xfrm>
                    <a:prstGeom prst="rect"/>
                  </pic:spPr>
                </pic:pic>
              </a:graphicData>
            </a:graphic>
          </wp:inline>
        </w:drawing>
      </w:r>
    </w:p>
    <w:p>
      <w:pPr>
        <w:spacing w:before="40" w:after="240" w:line="360" w:lineRule="exact"/>
        <w:jc w:val="center"/>
      </w:pPr>
      <w:r>
        <w:rPr>
          <w:rFonts w:ascii="Times New Roman" w:hAnsi="Times New Roman"/>
          <w:b w:val="0"/>
          <w:i/>
          <w:sz w:val="22"/>
        </w:rPr>
        <w:t>Fig 3.2 – Internixa 5-Layer Architecture</w:t>
      </w:r>
    </w:p>
    <w:p>
      <w:pPr>
        <w:spacing w:before="160" w:after="80" w:line="360" w:lineRule="exact"/>
        <w:jc w:val="left"/>
      </w:pPr>
      <w:r>
        <w:rPr>
          <w:rFonts w:ascii="Times New Roman" w:hAnsi="Times New Roman"/>
          <w:b/>
          <w:i/>
          <w:sz w:val="24"/>
        </w:rPr>
        <w:t>3.2.2  Advantages</w:t>
      </w:r>
    </w:p>
    <w:p>
      <w:pPr>
        <w:spacing w:before="0" w:after="60" w:line="360" w:lineRule="exact"/>
        <w:jc w:val="left"/>
      </w:pPr>
      <w:r>
        <w:rPr>
          <w:rFonts w:ascii="Times New Roman" w:hAnsi="Times New Roman"/>
          <w:b w:val="0"/>
          <w:i w:val="0"/>
          <w:sz w:val="22"/>
        </w:rPr>
        <w:t xml:space="preserve">  •  Active Engagement Enforcement: The MediaPipe monitoring layer creates genuine academic friction — students cannot passively consume content. Every second of playback corresponds to a verified second of student attention.</w:t>
      </w:r>
    </w:p>
    <w:p>
      <w:pPr>
        <w:spacing w:before="0" w:after="60" w:line="360" w:lineRule="exact"/>
        <w:jc w:val="left"/>
      </w:pPr>
      <w:r>
        <w:rPr>
          <w:rFonts w:ascii="Times New Roman" w:hAnsi="Times New Roman"/>
          <w:b w:val="0"/>
          <w:i w:val="0"/>
          <w:sz w:val="22"/>
        </w:rPr>
        <w:t xml:space="preserve">  •  Context-Locked AI Integrity: The RAG pipeline ensures that AI assistance is always grounded in course content, preventing academic dishonesty and improving the pedagogical relevance of AI responses.</w:t>
      </w:r>
    </w:p>
    <w:p>
      <w:pPr>
        <w:spacing w:before="0" w:after="60" w:line="360" w:lineRule="exact"/>
        <w:jc w:val="left"/>
      </w:pPr>
      <w:r>
        <w:rPr>
          <w:rFonts w:ascii="Times New Roman" w:hAnsi="Times New Roman"/>
          <w:b w:val="0"/>
          <w:i w:val="0"/>
          <w:sz w:val="22"/>
        </w:rPr>
        <w:t xml:space="preserve">  •  Verified, Tamper-Proof Certification: Certificates are issued exclusively upon achieving a minimum verified engagement threshold, making them a reliable signal of genuine course completion.</w:t>
      </w:r>
    </w:p>
    <w:p>
      <w:pPr>
        <w:spacing w:before="0" w:after="60" w:line="360" w:lineRule="exact"/>
        <w:jc w:val="left"/>
      </w:pPr>
      <w:r>
        <w:rPr>
          <w:rFonts w:ascii="Times New Roman" w:hAnsi="Times New Roman"/>
          <w:b w:val="0"/>
          <w:i w:val="0"/>
          <w:sz w:val="22"/>
        </w:rPr>
        <w:t xml:space="preserve">  •  Privacy-Preserving Architecture: All video processing occurs on the student's device; only derived metadata is transmitted to the backend, ensuring GDPR-compliant data minimisation.</w:t>
      </w:r>
    </w:p>
    <w:p>
      <w:pPr>
        <w:spacing w:before="0" w:after="60" w:line="360" w:lineRule="exact"/>
        <w:jc w:val="left"/>
      </w:pPr>
      <w:r>
        <w:rPr>
          <w:rFonts w:ascii="Times New Roman" w:hAnsi="Times New Roman"/>
          <w:b w:val="0"/>
          <w:i w:val="0"/>
          <w:sz w:val="22"/>
        </w:rPr>
        <w:t xml:space="preserve">  •  Gamified Motivation: The Focus Points system and leaderboard leverage established principles of self-determination theory to create intrinsic motivation aligned with genuine learning behaviours.</w:t>
      </w:r>
    </w:p>
    <w:p>
      <w:pPr>
        <w:spacing w:before="0" w:after="60" w:line="360" w:lineRule="exact"/>
        <w:jc w:val="left"/>
      </w:pPr>
      <w:r>
        <w:rPr>
          <w:rFonts w:ascii="Times New Roman" w:hAnsi="Times New Roman"/>
          <w:b w:val="0"/>
          <w:i w:val="0"/>
          <w:sz w:val="22"/>
        </w:rPr>
        <w:t xml:space="preserve">  •  Live Collaborative Intelligence: WebRTC meetings with real-time host HUD analytics enable instructors to monitor and respond to engagement patterns during synchronous sessions.</w:t>
      </w:r>
    </w:p>
    <w:p>
      <w:pPr>
        <w:spacing w:before="240" w:after="120" w:line="360" w:lineRule="exact"/>
        <w:jc w:val="left"/>
      </w:pPr>
      <w:r>
        <w:rPr>
          <w:rFonts w:ascii="Times New Roman" w:hAnsi="Times New Roman"/>
          <w:b/>
          <w:i w:val="0"/>
          <w:sz w:val="24"/>
        </w:rPr>
        <w:t>3.3  System Architecture</w:t>
      </w:r>
    </w:p>
    <w:p>
      <w:pPr>
        <w:spacing w:before="160" w:after="80" w:line="360" w:lineRule="exact"/>
        <w:jc w:val="left"/>
      </w:pPr>
      <w:r>
        <w:rPr>
          <w:rFonts w:ascii="Times New Roman" w:hAnsi="Times New Roman"/>
          <w:b/>
          <w:i/>
          <w:sz w:val="24"/>
        </w:rPr>
        <w:t>3.3.1  Block Diagram</w:t>
      </w:r>
    </w:p>
    <w:p>
      <w:pPr>
        <w:spacing w:before="0" w:after="120" w:line="360" w:lineRule="exact"/>
        <w:jc w:val="both"/>
      </w:pPr>
      <w:r>
        <w:rPr>
          <w:rFonts w:ascii="Times New Roman" w:hAnsi="Times New Roman"/>
          <w:b w:val="0"/>
          <w:i w:val="0"/>
          <w:sz w:val="24"/>
        </w:rPr>
        <w:t>The Internixa architecture is organised into five distinct functional layers, each responsible for a specific domain of system functionality. The layers are ordered from the user-facing presentation layer to the persistent data layer, with well-defined interfaces between each adjacent pair.</w:t>
      </w:r>
    </w:p>
    <w:p>
      <w:pPr>
        <w:jc w:val="center"/>
      </w:pPr>
      <w:r>
        <w:drawing>
          <wp:inline xmlns:a="http://schemas.openxmlformats.org/drawingml/2006/main" xmlns:pic="http://schemas.openxmlformats.org/drawingml/2006/picture">
            <wp:extent cx="5029200" cy="3181222"/>
            <wp:docPr id="4" name="Picture 4"/>
            <wp:cNvGraphicFramePr>
              <a:graphicFrameLocks noChangeAspect="1"/>
            </wp:cNvGraphicFramePr>
            <a:graphic>
              <a:graphicData uri="http://schemas.openxmlformats.org/drawingml/2006/picture">
                <pic:pic>
                  <pic:nvPicPr>
                    <pic:cNvPr id="0" name="fig3_2_arch.png"/>
                    <pic:cNvPicPr/>
                  </pic:nvPicPr>
                  <pic:blipFill>
                    <a:blip r:embed="rId11"/>
                    <a:stretch>
                      <a:fillRect/>
                    </a:stretch>
                  </pic:blipFill>
                  <pic:spPr>
                    <a:xfrm>
                      <a:off x="0" y="0"/>
                      <a:ext cx="5029200" cy="3181222"/>
                    </a:xfrm>
                    <a:prstGeom prst="rect"/>
                  </pic:spPr>
                </pic:pic>
              </a:graphicData>
            </a:graphic>
          </wp:inline>
        </w:drawing>
      </w:r>
    </w:p>
    <w:p>
      <w:pPr>
        <w:spacing w:before="40" w:after="240" w:line="360" w:lineRule="exact"/>
        <w:jc w:val="center"/>
      </w:pPr>
      <w:r>
        <w:rPr>
          <w:rFonts w:ascii="Times New Roman" w:hAnsi="Times New Roman"/>
          <w:b w:val="0"/>
          <w:i/>
          <w:sz w:val="22"/>
        </w:rPr>
        <w:t>Fig 3.2 – Internixa 5-Layer Architecture Block Diagram</w:t>
      </w:r>
    </w:p>
    <w:p>
      <w:pPr>
        <w:spacing w:before="160" w:after="80" w:line="360" w:lineRule="exact"/>
        <w:jc w:val="left"/>
      </w:pPr>
      <w:r>
        <w:rPr>
          <w:rFonts w:ascii="Times New Roman" w:hAnsi="Times New Roman"/>
          <w:b/>
          <w:i/>
          <w:sz w:val="24"/>
        </w:rPr>
        <w:t>3.3.2  DFD Level 0 – Context Diagram</w:t>
      </w:r>
    </w:p>
    <w:p>
      <w:pPr>
        <w:spacing w:before="0" w:after="120" w:line="360" w:lineRule="exact"/>
        <w:jc w:val="both"/>
      </w:pPr>
      <w:r>
        <w:rPr>
          <w:rFonts w:ascii="Times New Roman" w:hAnsi="Times New Roman"/>
          <w:b w:val="0"/>
          <w:i w:val="0"/>
          <w:sz w:val="24"/>
        </w:rPr>
        <w:t>The Level 0 Data Flow Diagram presents the highest-level view of the Internixa system, showing the external entities that interact with it and the primary data flows between those entities and the system boundary. External entities include the Student (the primary user), the Recruiter (posting internship opportunities), the Gemini AI Service (providing LLM inference), and the Camera (providing the live video feed for AI monitoring).</w:t>
      </w:r>
    </w:p>
    <w:p>
      <w:pPr>
        <w:jc w:val="center"/>
      </w:pPr>
      <w:r>
        <w:drawing>
          <wp:inline xmlns:a="http://schemas.openxmlformats.org/drawingml/2006/main" xmlns:pic="http://schemas.openxmlformats.org/drawingml/2006/picture">
            <wp:extent cx="5029200" cy="3351052"/>
            <wp:docPr id="5" name="Picture 5"/>
            <wp:cNvGraphicFramePr>
              <a:graphicFrameLocks noChangeAspect="1"/>
            </wp:cNvGraphicFramePr>
            <a:graphic>
              <a:graphicData uri="http://schemas.openxmlformats.org/drawingml/2006/picture">
                <pic:pic>
                  <pic:nvPicPr>
                    <pic:cNvPr id="0" name="fig3_3_dfd0.png"/>
                    <pic:cNvPicPr/>
                  </pic:nvPicPr>
                  <pic:blipFill>
                    <a:blip r:embed="rId12"/>
                    <a:stretch>
                      <a:fillRect/>
                    </a:stretch>
                  </pic:blipFill>
                  <pic:spPr>
                    <a:xfrm>
                      <a:off x="0" y="0"/>
                      <a:ext cx="5029200" cy="3351052"/>
                    </a:xfrm>
                    <a:prstGeom prst="rect"/>
                  </pic:spPr>
                </pic:pic>
              </a:graphicData>
            </a:graphic>
          </wp:inline>
        </w:drawing>
      </w:r>
    </w:p>
    <w:p>
      <w:pPr>
        <w:spacing w:before="40" w:after="240" w:line="360" w:lineRule="exact"/>
        <w:jc w:val="center"/>
      </w:pPr>
      <w:r>
        <w:rPr>
          <w:rFonts w:ascii="Times New Roman" w:hAnsi="Times New Roman"/>
          <w:b w:val="0"/>
          <w:i/>
          <w:sz w:val="22"/>
        </w:rPr>
        <w:t>Fig 3.3 – DFD Level 0 (Context Diagram)</w:t>
      </w:r>
    </w:p>
    <w:p>
      <w:pPr>
        <w:spacing w:before="160" w:after="80" w:line="360" w:lineRule="exact"/>
        <w:jc w:val="left"/>
      </w:pPr>
      <w:r>
        <w:rPr>
          <w:rFonts w:ascii="Times New Roman" w:hAnsi="Times New Roman"/>
          <w:b/>
          <w:i/>
          <w:sz w:val="24"/>
        </w:rPr>
        <w:t>3.3.3  DFD Level 1 – Detailed Flow</w:t>
      </w:r>
    </w:p>
    <w:p>
      <w:pPr>
        <w:spacing w:before="0" w:after="120" w:line="360" w:lineRule="exact"/>
        <w:jc w:val="both"/>
      </w:pPr>
      <w:r>
        <w:rPr>
          <w:rFonts w:ascii="Times New Roman" w:hAnsi="Times New Roman"/>
          <w:b w:val="0"/>
          <w:i w:val="0"/>
          <w:sz w:val="24"/>
        </w:rPr>
        <w:t>The Level 1 DFD decomposes the INTERNIXA system into its eight primary processing modules, showing the data flows between modules and the external data stores that support them. Each process represents a distinct functional subsystem of the platform.</w:t>
      </w:r>
    </w:p>
    <w:p>
      <w:pPr>
        <w:jc w:val="center"/>
      </w:pPr>
      <w:r>
        <w:drawing>
          <wp:inline xmlns:a="http://schemas.openxmlformats.org/drawingml/2006/main" xmlns:pic="http://schemas.openxmlformats.org/drawingml/2006/picture">
            <wp:extent cx="5029200" cy="3070459"/>
            <wp:docPr id="6" name="Picture 6"/>
            <wp:cNvGraphicFramePr>
              <a:graphicFrameLocks noChangeAspect="1"/>
            </wp:cNvGraphicFramePr>
            <a:graphic>
              <a:graphicData uri="http://schemas.openxmlformats.org/drawingml/2006/picture">
                <pic:pic>
                  <pic:nvPicPr>
                    <pic:cNvPr id="0" name="fig3_4_dfd1.png"/>
                    <pic:cNvPicPr/>
                  </pic:nvPicPr>
                  <pic:blipFill>
                    <a:blip r:embed="rId13"/>
                    <a:stretch>
                      <a:fillRect/>
                    </a:stretch>
                  </pic:blipFill>
                  <pic:spPr>
                    <a:xfrm>
                      <a:off x="0" y="0"/>
                      <a:ext cx="5029200" cy="3070459"/>
                    </a:xfrm>
                    <a:prstGeom prst="rect"/>
                  </pic:spPr>
                </pic:pic>
              </a:graphicData>
            </a:graphic>
          </wp:inline>
        </w:drawing>
      </w:r>
    </w:p>
    <w:p>
      <w:pPr>
        <w:spacing w:before="40" w:after="240" w:line="360" w:lineRule="exact"/>
        <w:jc w:val="center"/>
      </w:pPr>
      <w:r>
        <w:rPr>
          <w:rFonts w:ascii="Times New Roman" w:hAnsi="Times New Roman"/>
          <w:b w:val="0"/>
          <w:i/>
          <w:sz w:val="22"/>
        </w:rPr>
        <w:t>Fig 3.4 – DFD Level 1 (Detailed Data Flow Diagram)</w:t>
      </w:r>
    </w:p>
    <w:p>
      <w:pPr>
        <w:spacing w:before="240" w:after="120" w:line="360" w:lineRule="exact"/>
        <w:jc w:val="left"/>
      </w:pPr>
      <w:r>
        <w:rPr>
          <w:rFonts w:ascii="Times New Roman" w:hAnsi="Times New Roman"/>
          <w:b/>
          <w:i w:val="0"/>
          <w:sz w:val="24"/>
        </w:rPr>
        <w:t>3.4  Methodology / Algorithm</w:t>
      </w:r>
    </w:p>
    <w:p>
      <w:pPr>
        <w:spacing w:before="160" w:after="80" w:line="360" w:lineRule="exact"/>
        <w:jc w:val="left"/>
      </w:pPr>
      <w:r>
        <w:rPr>
          <w:rFonts w:ascii="Times New Roman" w:hAnsi="Times New Roman"/>
          <w:b/>
          <w:i/>
          <w:sz w:val="24"/>
        </w:rPr>
        <w:t>3.4.1  MediaPipe Face Mesh Pipeline</w:t>
      </w:r>
    </w:p>
    <w:p>
      <w:pPr>
        <w:spacing w:before="0" w:after="120" w:line="360" w:lineRule="exact"/>
        <w:jc w:val="both"/>
      </w:pPr>
      <w:r>
        <w:rPr>
          <w:rFonts w:ascii="Times New Roman" w:hAnsi="Times New Roman"/>
          <w:b w:val="0"/>
          <w:i w:val="0"/>
          <w:sz w:val="24"/>
        </w:rPr>
        <w:t>The attention monitoring pipeline begins with the acquisition of a live video frame from the student's webcam via the browser's MediaDevices.getUserMedia() API. Each frame is passed to the MediaPipe Face Mesh model, which executes inference within a WebAssembly (WASM) module accelerated by WebGL. The model returns a set of 468 three-dimensional landmark coordinates, each normalised to the range [0,1] relative to the detected face bounding box. This normalisation ensures robustness against variation in the student's distance from the camera and the camera's field of view.</w:t>
      </w:r>
    </w:p>
    <w:p>
      <w:pPr>
        <w:spacing w:before="0" w:after="120" w:line="360" w:lineRule="exact"/>
        <w:jc w:val="both"/>
      </w:pPr>
      <w:r>
        <w:rPr>
          <w:rFonts w:ascii="Times New Roman" w:hAnsi="Times New Roman"/>
          <w:b w:val="0"/>
          <w:i w:val="0"/>
          <w:sz w:val="24"/>
        </w:rPr>
        <w:t>The 468 landmarks are indexed according to MediaPipe's published canonical face topology. Specific landmark indices are selected for the EAR and gaze calculations: the left eye uses indices 33, 133, 145, 158, 159, and 144; the right eye uses indices 263, 362, 374, 380, 385, and 386; the nose tip uses index 4. The entire pipeline — from frame capture to attention state output — completes within approximately 28 milliseconds on a standard consumer CPU, achieving approximately 35 FPS effective throughput.</w:t>
      </w:r>
    </w:p>
    <w:p>
      <w:pPr>
        <w:jc w:val="center"/>
      </w:pPr>
      <w:r>
        <w:drawing>
          <wp:inline xmlns:a="http://schemas.openxmlformats.org/drawingml/2006/main" xmlns:pic="http://schemas.openxmlformats.org/drawingml/2006/picture">
            <wp:extent cx="5029200" cy="5184312"/>
            <wp:docPr id="7" name="Picture 7"/>
            <wp:cNvGraphicFramePr>
              <a:graphicFrameLocks noChangeAspect="1"/>
            </wp:cNvGraphicFramePr>
            <a:graphic>
              <a:graphicData uri="http://schemas.openxmlformats.org/drawingml/2006/picture">
                <pic:pic>
                  <pic:nvPicPr>
                    <pic:cNvPr id="0" name="fig3_5_facemesh.png"/>
                    <pic:cNvPicPr/>
                  </pic:nvPicPr>
                  <pic:blipFill>
                    <a:blip r:embed="rId14"/>
                    <a:stretch>
                      <a:fillRect/>
                    </a:stretch>
                  </pic:blipFill>
                  <pic:spPr>
                    <a:xfrm>
                      <a:off x="0" y="0"/>
                      <a:ext cx="5029200" cy="5184312"/>
                    </a:xfrm>
                    <a:prstGeom prst="rect"/>
                  </pic:spPr>
                </pic:pic>
              </a:graphicData>
            </a:graphic>
          </wp:inline>
        </w:drawing>
      </w:r>
    </w:p>
    <w:p>
      <w:pPr>
        <w:spacing w:before="40" w:after="240" w:line="360" w:lineRule="exact"/>
        <w:jc w:val="center"/>
      </w:pPr>
      <w:r>
        <w:rPr>
          <w:rFonts w:ascii="Times New Roman" w:hAnsi="Times New Roman"/>
          <w:b w:val="0"/>
          <w:i/>
          <w:sz w:val="22"/>
        </w:rPr>
        <w:t>Fig 3.5 – MediaPipe Face Mesh (468 Landmarks)</w:t>
      </w:r>
    </w:p>
    <w:p>
      <w:pPr>
        <w:spacing w:before="160" w:after="80" w:line="360" w:lineRule="exact"/>
        <w:jc w:val="left"/>
      </w:pPr>
      <w:r>
        <w:rPr>
          <w:rFonts w:ascii="Times New Roman" w:hAnsi="Times New Roman"/>
          <w:b/>
          <w:i/>
          <w:sz w:val="24"/>
        </w:rPr>
        <w:t>3.4.2  Eye Aspect Ratio (EAR) Formula</w:t>
      </w:r>
    </w:p>
    <w:p>
      <w:pPr>
        <w:spacing w:before="0" w:after="120" w:line="360" w:lineRule="exact"/>
        <w:jc w:val="both"/>
      </w:pPr>
      <w:r>
        <w:rPr>
          <w:rFonts w:ascii="Times New Roman" w:hAnsi="Times New Roman"/>
          <w:b w:val="0"/>
          <w:i w:val="0"/>
          <w:sz w:val="24"/>
        </w:rPr>
        <w:t>The Eye Aspect Ratio (EAR) provides a scalar measure of eye openness computed from six facial landmark coordinates. For each eye, the formula calculates the ratio of the sum of two vertical eyelid distances to twice the horizontal eye width:</w:t>
      </w:r>
    </w:p>
    <w:p>
      <w:pPr>
        <w:spacing w:before="160" w:after="160" w:line="360" w:lineRule="exact"/>
        <w:jc w:val="center"/>
      </w:pPr>
      <w:r>
        <w:rPr>
          <w:rFonts w:ascii="Times New Roman" w:hAnsi="Times New Roman"/>
          <w:b/>
          <w:i w:val="0"/>
          <w:color w:val="4F46E5"/>
          <w:sz w:val="24"/>
        </w:rPr>
        <w:t>EAR  =  ( ||p₁₅₉ − p₁₄₅||  +  ||p₁₅₈ − p₁₄₄|| )  /  ( 2  ×  ||p₃₃ − p₁₃₃|| )</w:t>
      </w:r>
    </w:p>
    <w:p>
      <w:pPr>
        <w:spacing w:before="0" w:after="120" w:line="360" w:lineRule="exact"/>
        <w:jc w:val="both"/>
      </w:pPr>
      <w:r>
        <w:rPr>
          <w:rFonts w:ascii="Times New Roman" w:hAnsi="Times New Roman"/>
          <w:b w:val="0"/>
          <w:i w:val="0"/>
          <w:sz w:val="24"/>
        </w:rPr>
        <w:t>Where p₃₃ denotes the left eye inner corner landmark, p₁₃₃ the left eye outer corner, p₁₅₉ and p₁₄₅ are the upper and lower eyelid landmarks at the medial position, and p₁₅₈ and p₁₄₄ are the upper and lower eyelid landmarks at the lateral position. The denominator normalises the ratio against the horizontal eye width, providing invariance to head scale. For a fully open eye, EAR typically ranges between 0.25 and 0.35. A blink event causes EAR to drop sharply toward zero. Internixa applies the threshold EAR &lt; 0.20 for three or more consecutive frames to classify the eye state as closed, triggering the distraction state machine and pausing video playback.</w:t>
      </w:r>
    </w:p>
    <w:p>
      <w:pPr>
        <w:jc w:val="center"/>
      </w:pPr>
      <w:r>
        <w:drawing>
          <wp:inline xmlns:a="http://schemas.openxmlformats.org/drawingml/2006/main" xmlns:pic="http://schemas.openxmlformats.org/drawingml/2006/picture">
            <wp:extent cx="5029200" cy="3345807"/>
            <wp:docPr id="8" name="Picture 8"/>
            <wp:cNvGraphicFramePr>
              <a:graphicFrameLocks noChangeAspect="1"/>
            </wp:cNvGraphicFramePr>
            <a:graphic>
              <a:graphicData uri="http://schemas.openxmlformats.org/drawingml/2006/picture">
                <pic:pic>
                  <pic:nvPicPr>
                    <pic:cNvPr id="0" name="fig3_6_ear.png"/>
                    <pic:cNvPicPr/>
                  </pic:nvPicPr>
                  <pic:blipFill>
                    <a:blip r:embed="rId15"/>
                    <a:stretch>
                      <a:fillRect/>
                    </a:stretch>
                  </pic:blipFill>
                  <pic:spPr>
                    <a:xfrm>
                      <a:off x="0" y="0"/>
                      <a:ext cx="5029200" cy="3345807"/>
                    </a:xfrm>
                    <a:prstGeom prst="rect"/>
                  </pic:spPr>
                </pic:pic>
              </a:graphicData>
            </a:graphic>
          </wp:inline>
        </w:drawing>
      </w:r>
    </w:p>
    <w:p>
      <w:pPr>
        <w:spacing w:before="40" w:after="240" w:line="360" w:lineRule="exact"/>
        <w:jc w:val="center"/>
      </w:pPr>
      <w:r>
        <w:rPr>
          <w:rFonts w:ascii="Times New Roman" w:hAnsi="Times New Roman"/>
          <w:b w:val="0"/>
          <w:i/>
          <w:sz w:val="22"/>
        </w:rPr>
        <w:t>Fig 3.6 – Eye Aspect Ratio (EAR) Landmark Diagram</w:t>
      </w:r>
    </w:p>
    <w:p>
      <w:pPr>
        <w:spacing w:before="160" w:after="80" w:line="360" w:lineRule="exact"/>
        <w:jc w:val="left"/>
      </w:pPr>
      <w:r>
        <w:rPr>
          <w:rFonts w:ascii="Times New Roman" w:hAnsi="Times New Roman"/>
          <w:b/>
          <w:i/>
          <w:sz w:val="24"/>
        </w:rPr>
        <w:t>3.4.3  Gaze Deviation Formula</w:t>
      </w:r>
    </w:p>
    <w:p>
      <w:pPr>
        <w:spacing w:before="0" w:after="120" w:line="360" w:lineRule="exact"/>
        <w:jc w:val="both"/>
      </w:pPr>
      <w:r>
        <w:rPr>
          <w:rFonts w:ascii="Times New Roman" w:hAnsi="Times New Roman"/>
          <w:b w:val="0"/>
          <w:i w:val="0"/>
          <w:sz w:val="24"/>
        </w:rPr>
        <w:t>The gaze detection algorithm quantifies the horizontal offset of the student's nose tip from the midpoint between the two eye inner corners, providing a robust proxy for head-turn-based gaze direction. The eye midpoint M_x is computed as:</w:t>
      </w:r>
    </w:p>
    <w:p>
      <w:pPr>
        <w:spacing w:before="120" w:after="80" w:line="360" w:lineRule="exact"/>
        <w:jc w:val="center"/>
      </w:pPr>
      <w:r>
        <w:rPr>
          <w:rFonts w:ascii="Times New Roman" w:hAnsi="Times New Roman"/>
          <w:b/>
          <w:i w:val="0"/>
          <w:color w:val="4F46E5"/>
          <w:sz w:val="24"/>
        </w:rPr>
        <w:t>M_x  =  ( p₃₃.x  +  p₂₆₃.x )  /  2</w:t>
      </w:r>
    </w:p>
    <w:p>
      <w:pPr>
        <w:spacing w:before="0" w:after="120" w:line="360" w:lineRule="exact"/>
        <w:jc w:val="both"/>
      </w:pPr>
      <w:r>
        <w:rPr>
          <w:rFonts w:ascii="Times New Roman" w:hAnsi="Times New Roman"/>
          <w:b w:val="0"/>
          <w:i w:val="0"/>
          <w:sz w:val="24"/>
        </w:rPr>
        <w:t>The gaze deviation is then:</w:t>
      </w:r>
    </w:p>
    <w:p>
      <w:pPr>
        <w:spacing w:before="80" w:after="160" w:line="360" w:lineRule="exact"/>
        <w:jc w:val="center"/>
      </w:pPr>
      <w:r>
        <w:rPr>
          <w:rFonts w:ascii="Times New Roman" w:hAnsi="Times New Roman"/>
          <w:b/>
          <w:i w:val="0"/>
          <w:color w:val="4F46E5"/>
          <w:sz w:val="24"/>
        </w:rPr>
        <w:t>Deviation  =  | p₄.x  −  M_x |</w:t>
      </w:r>
    </w:p>
    <w:p>
      <w:pPr>
        <w:spacing w:before="0" w:after="120" w:line="360" w:lineRule="exact"/>
        <w:jc w:val="both"/>
      </w:pPr>
      <w:r>
        <w:rPr>
          <w:rFonts w:ascii="Times New Roman" w:hAnsi="Times New Roman"/>
          <w:b w:val="0"/>
          <w:i w:val="0"/>
          <w:sz w:val="24"/>
        </w:rPr>
        <w:t>Where p₄ is the nose tip landmark and p₂₆₃ is the right eye inner corner landmark. The student is classified as gaze-distracted if the deviation exceeds 35% of the inter-eye distance: Deviation &gt; 0.35 × (p₂₆₃.x − p₃₃.x). This threshold was empirically calibrated to minimise false positives from natural head micro-movements while reliably detecting intentional gaze aversion.</w:t>
      </w:r>
    </w:p>
    <w:p>
      <w:pPr>
        <w:jc w:val="center"/>
      </w:pPr>
      <w:r>
        <w:drawing>
          <wp:inline xmlns:a="http://schemas.openxmlformats.org/drawingml/2006/main" xmlns:pic="http://schemas.openxmlformats.org/drawingml/2006/picture">
            <wp:extent cx="5029200" cy="2421810"/>
            <wp:docPr id="9" name="Picture 9"/>
            <wp:cNvGraphicFramePr>
              <a:graphicFrameLocks noChangeAspect="1"/>
            </wp:cNvGraphicFramePr>
            <a:graphic>
              <a:graphicData uri="http://schemas.openxmlformats.org/drawingml/2006/picture">
                <pic:pic>
                  <pic:nvPicPr>
                    <pic:cNvPr id="0" name="fig3_7_gaze.png"/>
                    <pic:cNvPicPr/>
                  </pic:nvPicPr>
                  <pic:blipFill>
                    <a:blip r:embed="rId16"/>
                    <a:stretch>
                      <a:fillRect/>
                    </a:stretch>
                  </pic:blipFill>
                  <pic:spPr>
                    <a:xfrm>
                      <a:off x="0" y="0"/>
                      <a:ext cx="5029200" cy="2421810"/>
                    </a:xfrm>
                    <a:prstGeom prst="rect"/>
                  </pic:spPr>
                </pic:pic>
              </a:graphicData>
            </a:graphic>
          </wp:inline>
        </w:drawing>
      </w:r>
    </w:p>
    <w:p>
      <w:pPr>
        <w:spacing w:before="40" w:after="240" w:line="360" w:lineRule="exact"/>
        <w:jc w:val="center"/>
      </w:pPr>
      <w:r>
        <w:rPr>
          <w:rFonts w:ascii="Times New Roman" w:hAnsi="Times New Roman"/>
          <w:b w:val="0"/>
          <w:i/>
          <w:sz w:val="22"/>
        </w:rPr>
        <w:t>Fig 3.7 – Gaze Detection Algorithm Flow</w:t>
      </w:r>
    </w:p>
    <w:p>
      <w:pPr>
        <w:spacing w:before="160" w:after="80" w:line="360" w:lineRule="exact"/>
        <w:jc w:val="left"/>
      </w:pPr>
      <w:r>
        <w:rPr>
          <w:rFonts w:ascii="Times New Roman" w:hAnsi="Times New Roman"/>
          <w:b/>
          <w:i/>
          <w:sz w:val="24"/>
        </w:rPr>
        <w:t>3.4.4  RAG Pipeline</w:t>
      </w:r>
    </w:p>
    <w:p>
      <w:pPr>
        <w:spacing w:before="0" w:after="120" w:line="360" w:lineRule="exact"/>
        <w:jc w:val="both"/>
      </w:pPr>
      <w:r>
        <w:rPr>
          <w:rFonts w:ascii="Times New Roman" w:hAnsi="Times New Roman"/>
          <w:b w:val="0"/>
          <w:i w:val="0"/>
          <w:sz w:val="24"/>
        </w:rPr>
        <w:t>The Retrieval-Augmented Generation pipeline processes student queries through a four-stage flow: embedding, retrieval, augmentation, and generation. During course ingestion (an offline process triggered by content administrators), video transcripts are segmented into 500-character chunks with 50-character overlaps using a sliding-window tokeniser. Each chunk is embedded using Google's text-embedding-004 model, producing a 768-dimensional dense vector representation. These vectors are upserted into a Pinecone serverless index with the course ID and chunk text stored as metadata.</w:t>
      </w:r>
    </w:p>
    <w:p>
      <w:pPr>
        <w:spacing w:before="0" w:after="120" w:line="360" w:lineRule="exact"/>
        <w:jc w:val="both"/>
      </w:pPr>
      <w:r>
        <w:rPr>
          <w:rFonts w:ascii="Times New Roman" w:hAnsi="Times New Roman"/>
          <w:b w:val="0"/>
          <w:i w:val="0"/>
          <w:sz w:val="24"/>
        </w:rPr>
        <w:t>At query time, the student's natural language question is embedded using the same model, and a cosine similarity search retrieves the top-three most semantically proximate transcript chunks. Cosine similarity is computed as: sim(q,d) = (q·d) / (||q|| × ||d||). The three retrieved chunks are concatenated and injected into a structured Gemini 1.5 Flash prompt that explicitly instructs the model to answer based solely on the provided context, citing specific concepts from the retrieved text. This architecture guarantees that all AI responses are grounded in course material, eliminating hallucination entirely for in-scope queries.</w:t>
      </w:r>
    </w:p>
    <w:p>
      <w:pPr>
        <w:jc w:val="center"/>
      </w:pPr>
      <w:r>
        <w:drawing>
          <wp:inline xmlns:a="http://schemas.openxmlformats.org/drawingml/2006/main" xmlns:pic="http://schemas.openxmlformats.org/drawingml/2006/picture">
            <wp:extent cx="5029200" cy="1842275"/>
            <wp:docPr id="10" name="Picture 10"/>
            <wp:cNvGraphicFramePr>
              <a:graphicFrameLocks noChangeAspect="1"/>
            </wp:cNvGraphicFramePr>
            <a:graphic>
              <a:graphicData uri="http://schemas.openxmlformats.org/drawingml/2006/picture">
                <pic:pic>
                  <pic:nvPicPr>
                    <pic:cNvPr id="0" name="fig3_8_rag.png"/>
                    <pic:cNvPicPr/>
                  </pic:nvPicPr>
                  <pic:blipFill>
                    <a:blip r:embed="rId17"/>
                    <a:stretch>
                      <a:fillRect/>
                    </a:stretch>
                  </pic:blipFill>
                  <pic:spPr>
                    <a:xfrm>
                      <a:off x="0" y="0"/>
                      <a:ext cx="5029200" cy="1842275"/>
                    </a:xfrm>
                    <a:prstGeom prst="rect"/>
                  </pic:spPr>
                </pic:pic>
              </a:graphicData>
            </a:graphic>
          </wp:inline>
        </w:drawing>
      </w:r>
    </w:p>
    <w:p>
      <w:pPr>
        <w:spacing w:before="40" w:after="240" w:line="360" w:lineRule="exact"/>
        <w:jc w:val="center"/>
      </w:pPr>
      <w:r>
        <w:rPr>
          <w:rFonts w:ascii="Times New Roman" w:hAnsi="Times New Roman"/>
          <w:b w:val="0"/>
          <w:i/>
          <w:sz w:val="22"/>
        </w:rPr>
        <w:t>Fig 3.8 – RAG (Retrieval-Augmented Generation) Pipeline</w:t>
      </w:r>
    </w:p>
    <w:p>
      <w:pPr>
        <w:spacing w:before="160" w:after="80" w:line="360" w:lineRule="exact"/>
        <w:jc w:val="left"/>
      </w:pPr>
      <w:r>
        <w:rPr>
          <w:rFonts w:ascii="Times New Roman" w:hAnsi="Times New Roman"/>
          <w:b/>
          <w:i/>
          <w:sz w:val="24"/>
        </w:rPr>
        <w:t>3.4.5  WebRTC Signaling Flow</w:t>
      </w:r>
    </w:p>
    <w:p>
      <w:pPr>
        <w:spacing w:before="0" w:after="120" w:line="360" w:lineRule="exact"/>
        <w:jc w:val="both"/>
      </w:pPr>
      <w:r>
        <w:rPr>
          <w:rFonts w:ascii="Times New Roman" w:hAnsi="Times New Roman"/>
          <w:b w:val="0"/>
          <w:i w:val="0"/>
          <w:sz w:val="24"/>
        </w:rPr>
        <w:t>Internixa's live meeting module establishes peer-to-peer video connections using the WebRTC standard with a Socket.IO-based signaling server. When a host creates a meeting room, the Socket.IO server registers the room ID. Each joining participant performs the following handshake: the joiner emits a join-room event; the server notifies existing peers; existing peers send SDP offer messages to the joiner via the server; the joiner generates SDP answers and returns them; both peers exchange ICE candidates discovered via a configured STUN server. Upon ICE negotiation completion, a direct P2P media channel is established between peers, and the Socket.IO signaling channel is used only for subsequent meeting control events (mute, leave, engagement updates).</w:t>
      </w:r>
    </w:p>
    <w:p>
      <w:pPr>
        <w:jc w:val="center"/>
      </w:pPr>
      <w:r>
        <w:drawing>
          <wp:inline xmlns:a="http://schemas.openxmlformats.org/drawingml/2006/main" xmlns:pic="http://schemas.openxmlformats.org/drawingml/2006/picture">
            <wp:extent cx="5029200" cy="3177003"/>
            <wp:docPr id="11" name="Picture 11"/>
            <wp:cNvGraphicFramePr>
              <a:graphicFrameLocks noChangeAspect="1"/>
            </wp:cNvGraphicFramePr>
            <a:graphic>
              <a:graphicData uri="http://schemas.openxmlformats.org/drawingml/2006/picture">
                <pic:pic>
                  <pic:nvPicPr>
                    <pic:cNvPr id="0" name="fig3_9_webrtc.png"/>
                    <pic:cNvPicPr/>
                  </pic:nvPicPr>
                  <pic:blipFill>
                    <a:blip r:embed="rId18"/>
                    <a:stretch>
                      <a:fillRect/>
                    </a:stretch>
                  </pic:blipFill>
                  <pic:spPr>
                    <a:xfrm>
                      <a:off x="0" y="0"/>
                      <a:ext cx="5029200" cy="3177003"/>
                    </a:xfrm>
                    <a:prstGeom prst="rect"/>
                  </pic:spPr>
                </pic:pic>
              </a:graphicData>
            </a:graphic>
          </wp:inline>
        </w:drawing>
      </w:r>
    </w:p>
    <w:p>
      <w:pPr>
        <w:spacing w:before="40" w:after="240" w:line="360" w:lineRule="exact"/>
        <w:jc w:val="center"/>
      </w:pPr>
      <w:r>
        <w:rPr>
          <w:rFonts w:ascii="Times New Roman" w:hAnsi="Times New Roman"/>
          <w:b w:val="0"/>
          <w:i/>
          <w:sz w:val="22"/>
        </w:rPr>
        <w:t>Fig 3.9 – WebRTC Signaling Diagram</w:t>
      </w:r>
    </w:p>
    <w:p>
      <w:pPr>
        <w:spacing w:before="160" w:after="80" w:line="360" w:lineRule="exact"/>
        <w:jc w:val="left"/>
      </w:pPr>
      <w:r>
        <w:rPr>
          <w:rFonts w:ascii="Times New Roman" w:hAnsi="Times New Roman"/>
          <w:b/>
          <w:i/>
          <w:sz w:val="24"/>
        </w:rPr>
        <w:t>3.4.6  Focus Points Algorithm</w:t>
      </w:r>
    </w:p>
    <w:p>
      <w:pPr>
        <w:spacing w:before="0" w:after="120" w:line="360" w:lineRule="exact"/>
        <w:jc w:val="both"/>
      </w:pPr>
      <w:r>
        <w:rPr>
          <w:rFonts w:ascii="Times New Roman" w:hAnsi="Times New Roman"/>
          <w:b w:val="0"/>
          <w:i w:val="0"/>
          <w:sz w:val="24"/>
        </w:rPr>
        <w:t>The Focus Points (FP) scoring algorithm rewards genuine engagement behaviour across all platform interactions. The base score is computed from the ratio of active focus time to total session time, weighted by a course difficulty factor:</w:t>
      </w:r>
    </w:p>
    <w:p>
      <w:pPr>
        <w:spacing w:before="120" w:after="160" w:line="360" w:lineRule="exact"/>
        <w:jc w:val="center"/>
      </w:pPr>
      <w:r>
        <w:rPr>
          <w:rFonts w:ascii="Times New Roman" w:hAnsi="Times New Roman"/>
          <w:b/>
          <w:i w:val="0"/>
          <w:color w:val="4F46E5"/>
          <w:sz w:val="24"/>
        </w:rPr>
        <w:t>FP  =  ( Active_Focus_Time / Total_Session_Time )  ×  100  ×  W</w:t>
      </w:r>
    </w:p>
    <w:p>
      <w:pPr>
        <w:spacing w:before="0" w:after="120" w:line="360" w:lineRule="exact"/>
        <w:jc w:val="both"/>
      </w:pPr>
      <w:r>
        <w:rPr>
          <w:rFonts w:ascii="Times New Roman" w:hAnsi="Times New Roman"/>
          <w:b w:val="0"/>
          <w:i w:val="0"/>
          <w:sz w:val="24"/>
        </w:rPr>
        <w:t>Where W is a course weight factor ranging from 1.0 (introductory courses) to 2.0 (advanced technical courses). Bonus FP are awarded for supplementary engagement activities: +5 FP per chatbot interaction, +10 FP per puzzle completion, +15 FP per meeting participation. The total FP accumulated across all sessions feeds the platform leaderboard, which is sorted in descending order and refreshed in real-time via MongoDB change streams.</w:t>
      </w:r>
    </w:p>
    <w:p>
      <w:pPr>
        <w:spacing w:before="240" w:after="120" w:line="360" w:lineRule="exact"/>
        <w:jc w:val="left"/>
      </w:pPr>
      <w:r>
        <w:rPr>
          <w:rFonts w:ascii="Times New Roman" w:hAnsi="Times New Roman"/>
          <w:b/>
          <w:i w:val="0"/>
          <w:sz w:val="24"/>
        </w:rPr>
        <w:t>3.5  Module Description</w:t>
      </w:r>
    </w:p>
    <w:p>
      <w:pPr>
        <w:spacing w:before="160" w:after="80" w:line="360" w:lineRule="exact"/>
        <w:jc w:val="left"/>
      </w:pPr>
      <w:r>
        <w:rPr>
          <w:rFonts w:ascii="Times New Roman" w:hAnsi="Times New Roman"/>
          <w:b/>
          <w:i/>
          <w:sz w:val="24"/>
        </w:rPr>
        <w:t>3.5.1  Module 1: AI Monitoring Engine</w:t>
      </w:r>
    </w:p>
    <w:p>
      <w:pPr>
        <w:spacing w:before="0" w:after="120" w:line="360" w:lineRule="exact"/>
        <w:jc w:val="both"/>
      </w:pPr>
      <w:r>
        <w:rPr>
          <w:rFonts w:ascii="Times New Roman" w:hAnsi="Times New Roman"/>
          <w:b w:val="0"/>
          <w:i w:val="0"/>
          <w:sz w:val="24"/>
        </w:rPr>
        <w:t>The AI Monitoring Engine is the core differentiating component of Internixa. Implemented entirely in React using the MediaPipe JavaScript library, this module accesses the student's webcam via the getUserMedia API and processes each frame through the Face Mesh model at 30 FPS. The module maintains a rolling state machine with three states: ATTENTIVE, DISTRACTED, and ABSENT. State transitions are governed by the EAR and gaze deviation thresholds described in Section 3.4. The module emits attention state change events to the Course Player module and logs active/distracted time intervals to local state, which is persisted to the backend upon session completion via the POST /api/session/complete endpoint.</w:t>
      </w:r>
    </w:p>
    <w:p>
      <w:pPr>
        <w:spacing w:before="0" w:after="120" w:line="360" w:lineRule="exact"/>
        <w:jc w:val="both"/>
      </w:pPr>
      <w:r>
        <w:rPr>
          <w:rFonts w:ascii="Times New Roman" w:hAnsi="Times New Roman"/>
          <w:b w:val="0"/>
          <w:i w:val="0"/>
          <w:sz w:val="24"/>
        </w:rPr>
        <w:t>The engine implements a hysteresis mechanism to prevent rapid state oscillation: a student must sustain the DISTRACTED state for at least three consecutive frames before a distraction event is triggered, and must sustain the ATTENTIVE state for at least two consecutive frames before the video resumes. This prevents the disruptive experience of the video pausing and resuming due to natural eye blinks or micro head movements. The module also renders a minimal HUD overlay on the course player, displaying a real-time attention indicator and cumulative focus percentage.</w:t>
      </w:r>
    </w:p>
    <w:p>
      <w:pPr>
        <w:spacing w:before="160" w:after="80" w:line="360" w:lineRule="exact"/>
        <w:jc w:val="left"/>
      </w:pPr>
      <w:r>
        <w:rPr>
          <w:rFonts w:ascii="Times New Roman" w:hAnsi="Times New Roman"/>
          <w:b/>
          <w:i/>
          <w:sz w:val="24"/>
        </w:rPr>
        <w:t>3.5.2  Module 2: Course Player with Smart Pause/Resume</w:t>
      </w:r>
    </w:p>
    <w:p>
      <w:pPr>
        <w:spacing w:before="0" w:after="120" w:line="360" w:lineRule="exact"/>
        <w:jc w:val="both"/>
      </w:pPr>
      <w:r>
        <w:rPr>
          <w:rFonts w:ascii="Times New Roman" w:hAnsi="Times New Roman"/>
          <w:b w:val="0"/>
          <w:i w:val="0"/>
          <w:sz w:val="24"/>
        </w:rPr>
        <w:t>The Course Player module wraps an HTML5 video element with a React state machine that responds to attention events from the AI Monitoring Engine. When an ATTENTIVE → DISTRACTED transition is detected, the module calls video.pause() and displays an overlay prompting the student to look at the screen. When a DISTRACTED → ATTENTIVE transition is detected, the module calls video.play() and removes the overlay. Session timing is tracked using the browser's performance.now() API for millisecond-precision active time measurement.</w:t>
      </w:r>
    </w:p>
    <w:p>
      <w:pPr>
        <w:spacing w:before="0" w:after="120" w:line="360" w:lineRule="exact"/>
        <w:jc w:val="both"/>
      </w:pPr>
      <w:r>
        <w:rPr>
          <w:rFonts w:ascii="Times New Roman" w:hAnsi="Times New Roman"/>
          <w:b w:val="0"/>
          <w:i w:val="0"/>
          <w:sz w:val="24"/>
        </w:rPr>
        <w:t>The module also integrates the Smart Study Sheet feature: upon video completion, a background API call to POST /api/summary/generate triggers the Gemini-powered transcript summarisation pipeline, and the resulting study sheet is displayed in a side panel alongside the video. Chapter markers and bookmarking functionality allow students to annotate key moments in the course timeline for later review.</w:t>
      </w:r>
    </w:p>
    <w:p>
      <w:pPr>
        <w:spacing w:before="160" w:after="80" w:line="360" w:lineRule="exact"/>
        <w:jc w:val="left"/>
      </w:pPr>
      <w:r>
        <w:rPr>
          <w:rFonts w:ascii="Times New Roman" w:hAnsi="Times New Roman"/>
          <w:b/>
          <w:i/>
          <w:sz w:val="24"/>
        </w:rPr>
        <w:t>3.5.3  Module 3: RAG Chatbot</w:t>
      </w:r>
    </w:p>
    <w:p>
      <w:pPr>
        <w:spacing w:before="0" w:after="120" w:line="360" w:lineRule="exact"/>
        <w:jc w:val="both"/>
      </w:pPr>
      <w:r>
        <w:rPr>
          <w:rFonts w:ascii="Times New Roman" w:hAnsi="Times New Roman"/>
          <w:b w:val="0"/>
          <w:i w:val="0"/>
          <w:sz w:val="24"/>
        </w:rPr>
        <w:t>The RAG Chatbot module provides a context-locked AI assistant that appears as a collapsible panel within the course player interface. The chat interface is built with React and communicates with the FastAPI backend via a POST /api/chatbot/chat endpoint. Each request includes the student's question, the current course ID, and the session JWT. The backend validates the JWT, retrieves the Pinecone index corresponding to the course ID, executes the embedding and retrieval pipeline, constructs the augmented prompt, and streams the Gemini response back to the client using Server-Sent Events (SSE) for a real-time typing effect.</w:t>
      </w:r>
    </w:p>
    <w:p>
      <w:pPr>
        <w:spacing w:before="0" w:after="120" w:line="360" w:lineRule="exact"/>
        <w:jc w:val="both"/>
      </w:pPr>
      <w:r>
        <w:rPr>
          <w:rFonts w:ascii="Times New Roman" w:hAnsi="Times New Roman"/>
          <w:b w:val="0"/>
          <w:i w:val="0"/>
          <w:sz w:val="24"/>
        </w:rPr>
        <w:t>A session-level interaction counter tracks the number of chatbot queries per session, incrementing the student's Focus Points by 5 per query to reward active engagement with course material. The chatbot interface includes a 'thumbs up/down' feedback mechanism that logs response quality ratings to MongoDB for continuous improvement purposes.</w:t>
      </w:r>
    </w:p>
    <w:p>
      <w:pPr>
        <w:spacing w:before="160" w:after="80" w:line="360" w:lineRule="exact"/>
        <w:jc w:val="left"/>
      </w:pPr>
      <w:r>
        <w:rPr>
          <w:rFonts w:ascii="Times New Roman" w:hAnsi="Times New Roman"/>
          <w:b/>
          <w:i/>
          <w:sz w:val="24"/>
        </w:rPr>
        <w:t>3.5.4  Module 4: WebRTC Meeting System</w:t>
      </w:r>
    </w:p>
    <w:p>
      <w:pPr>
        <w:spacing w:before="0" w:after="120" w:line="360" w:lineRule="exact"/>
        <w:jc w:val="both"/>
      </w:pPr>
      <w:r>
        <w:rPr>
          <w:rFonts w:ascii="Times New Roman" w:hAnsi="Times New Roman"/>
          <w:b w:val="0"/>
          <w:i w:val="0"/>
          <w:sz w:val="24"/>
        </w:rPr>
        <w:t>The WebRTC Meeting System enables instructors to host live, interactive sessions with multiple participants simultaneously. The module is built using the browser's native RTCPeerConnection API for media transport and Socket.IO for the signaling layer. The full-mesh topology allows each participant to maintain a direct P2P connection with every other participant, ensuring minimal latency and no single-point-of-failure in the media path. The host interface includes a dedicated HUD panel that displays a real-time grid of participant video thumbnails annotated with individual attention scores derived from each participant's local AI monitoring engine.</w:t>
      </w:r>
    </w:p>
    <w:p>
      <w:pPr>
        <w:spacing w:before="0" w:after="120" w:line="360" w:lineRule="exact"/>
        <w:jc w:val="both"/>
      </w:pPr>
      <w:r>
        <w:rPr>
          <w:rFonts w:ascii="Times New Roman" w:hAnsi="Times New Roman"/>
          <w:b w:val="0"/>
          <w:i w:val="0"/>
          <w:sz w:val="24"/>
        </w:rPr>
        <w:t>Participant attention data is transmitted to the meeting server via Socket.IO events at 1-second intervals, enabling the host to identify disengaged participants in real-time and intervene with targeted questions or prompts. Session statistics, including per-participant active time and engagement scores, are persisted to MongoDB at session end and are accessible via the Meeting Analytics dashboard.</w:t>
      </w:r>
    </w:p>
    <w:p>
      <w:pPr>
        <w:spacing w:before="160" w:after="80" w:line="360" w:lineRule="exact"/>
        <w:jc w:val="left"/>
      </w:pPr>
      <w:r>
        <w:rPr>
          <w:rFonts w:ascii="Times New Roman" w:hAnsi="Times New Roman"/>
          <w:b/>
          <w:i/>
          <w:sz w:val="24"/>
        </w:rPr>
        <w:t>3.5.5  Module 5: Gamification Engine</w:t>
      </w:r>
    </w:p>
    <w:p>
      <w:pPr>
        <w:spacing w:before="0" w:after="120" w:line="360" w:lineRule="exact"/>
        <w:jc w:val="both"/>
      </w:pPr>
      <w:r>
        <w:rPr>
          <w:rFonts w:ascii="Times New Roman" w:hAnsi="Times New Roman"/>
          <w:b w:val="0"/>
          <w:i w:val="0"/>
          <w:sz w:val="24"/>
        </w:rPr>
        <w:t>The Gamification Engine manages the Focus Points economy and competitive leaderboard that incentivise consistent, genuine engagement across the platform. Focus Points are computed, validated, and stored entirely on the backend to prevent client-side manipulation. The FastAPI session completion endpoint receives raw active and total time values from the client, re-computes the FP score on the server using the canonical formula, and validates the computed score against reasonable bounds before persisting it to the student's MongoDB document.</w:t>
      </w:r>
    </w:p>
    <w:p>
      <w:pPr>
        <w:spacing w:before="0" w:after="120" w:line="360" w:lineRule="exact"/>
        <w:jc w:val="both"/>
      </w:pPr>
      <w:r>
        <w:rPr>
          <w:rFonts w:ascii="Times New Roman" w:hAnsi="Times New Roman"/>
          <w:b w:val="0"/>
          <w:i w:val="0"/>
          <w:sz w:val="24"/>
        </w:rPr>
        <w:t>The leaderboard is implemented as a real-time ranked view over the MongoDB Users collection, sorted by cumulative FP score. The frontend fetches leaderboard data every 30 seconds and animates rank changes using Framer Motion to provide a visually dynamic competitive experience. Weekly and all-time leaderboard views are supported, with weekly scores reset automatically via a MongoDB scheduled trigger.</w:t>
      </w:r>
    </w:p>
    <w:p>
      <w:pPr>
        <w:spacing w:before="160" w:after="80" w:line="360" w:lineRule="exact"/>
        <w:jc w:val="left"/>
      </w:pPr>
      <w:r>
        <w:rPr>
          <w:rFonts w:ascii="Times New Roman" w:hAnsi="Times New Roman"/>
          <w:b/>
          <w:i/>
          <w:sz w:val="24"/>
        </w:rPr>
        <w:t>3.5.6  Module 6: Certificate Generation</w:t>
      </w:r>
    </w:p>
    <w:p>
      <w:pPr>
        <w:spacing w:before="0" w:after="120" w:line="360" w:lineRule="exact"/>
        <w:jc w:val="both"/>
      </w:pPr>
      <w:r>
        <w:rPr>
          <w:rFonts w:ascii="Times New Roman" w:hAnsi="Times New Roman"/>
          <w:b w:val="0"/>
          <w:i w:val="0"/>
          <w:sz w:val="24"/>
        </w:rPr>
        <w:t>The Certificate Generation module produces tamper-proof PDF certificates using Python's ReportLab library. Certificate issuance is gated by the session completion endpoint: if the computed engagement score is below the 70% threshold, the endpoint returns a 402 status with a motivational prompt rather than generating a certificate. When the threshold is met, the endpoint invokes the certificate generation function, which creates a ReportLab Canvas object, renders the Internixa digital seal, embeds the student's name, course title, completion date, and verified engagement score, applies a diagonal watermark, and outputs the PDF as a binary stream.</w:t>
      </w:r>
    </w:p>
    <w:p>
      <w:pPr>
        <w:spacing w:before="0" w:after="120" w:line="360" w:lineRule="exact"/>
        <w:jc w:val="both"/>
      </w:pPr>
      <w:r>
        <w:rPr>
          <w:rFonts w:ascii="Times New Roman" w:hAnsi="Times New Roman"/>
          <w:b w:val="0"/>
          <w:i w:val="0"/>
          <w:sz w:val="24"/>
        </w:rPr>
        <w:t>The PDF blob is stored in MongoDB GridFS and a download URL is returned to the client. The certificate is simultaneously added to the student's certificate gallery within the platform. Each certificate includes a unique verification ID that can be validated via a public endpoint, enabling recruiters and employers to independently verify certificate authenticity.</w:t>
      </w:r>
    </w:p>
    <w:p>
      <w:pPr>
        <w:spacing w:before="160" w:after="80" w:line="360" w:lineRule="exact"/>
        <w:jc w:val="left"/>
      </w:pPr>
      <w:r>
        <w:rPr>
          <w:rFonts w:ascii="Times New Roman" w:hAnsi="Times New Roman"/>
          <w:b/>
          <w:i/>
          <w:sz w:val="24"/>
        </w:rPr>
        <w:t>3.5.7  Module 7: Smart Study Sheets</w:t>
      </w:r>
    </w:p>
    <w:p>
      <w:pPr>
        <w:spacing w:before="0" w:after="120" w:line="360" w:lineRule="exact"/>
        <w:jc w:val="both"/>
      </w:pPr>
      <w:r>
        <w:rPr>
          <w:rFonts w:ascii="Times New Roman" w:hAnsi="Times New Roman"/>
          <w:b w:val="0"/>
          <w:i w:val="0"/>
          <w:sz w:val="24"/>
        </w:rPr>
        <w:t>The Smart Study Sheet module uses Google Gemini 1.5 Flash to generate concise, AI-curated summaries of course transcript content immediately upon session completion. The module sends the full transcript of the completed course segment to the Gemini API with a structured prompt requesting a bullet-pointed summary organised by key concept, with emphasis on the topics identified as high-focus by the student's attention data. The resulting study sheet is formatted in Markdown and rendered in the platform's study sheet viewer.</w:t>
      </w:r>
    </w:p>
    <w:p>
      <w:pPr>
        <w:spacing w:before="0" w:after="120" w:line="360" w:lineRule="exact"/>
        <w:jc w:val="both"/>
      </w:pPr>
      <w:r>
        <w:rPr>
          <w:rFonts w:ascii="Times New Roman" w:hAnsi="Times New Roman"/>
          <w:b w:val="0"/>
          <w:i w:val="0"/>
          <w:sz w:val="24"/>
        </w:rPr>
        <w:t>Study sheets are personalised to the student's attention patterns: topics from segments where the student's focus score was below 60% are highlighted with a review recommendation indicator, directing the student's revision efforts toward areas of demonstrated weakness. All generated study sheets are stored in MongoDB and are accessible from the student's learning history dashboard.</w:t>
      </w:r>
    </w:p>
    <w:p>
      <w:pPr>
        <w:spacing w:before="160" w:after="80" w:line="360" w:lineRule="exact"/>
        <w:jc w:val="left"/>
      </w:pPr>
      <w:r>
        <w:rPr>
          <w:rFonts w:ascii="Times New Roman" w:hAnsi="Times New Roman"/>
          <w:b/>
          <w:i/>
          <w:sz w:val="24"/>
        </w:rPr>
        <w:t>3.5.8  Module 8: Recruiter Portal</w:t>
      </w:r>
    </w:p>
    <w:p>
      <w:pPr>
        <w:spacing w:before="0" w:after="120" w:line="360" w:lineRule="exact"/>
        <w:jc w:val="both"/>
      </w:pPr>
      <w:r>
        <w:rPr>
          <w:rFonts w:ascii="Times New Roman" w:hAnsi="Times New Roman"/>
          <w:b w:val="0"/>
          <w:i w:val="0"/>
          <w:sz w:val="24"/>
        </w:rPr>
        <w:t>The Recruiter Portal provides a dedicated interface for registered recruiters to post, manage, and review applications for internship opportunities. Recruiters authenticate using the same JWT-based authentication system as students, but are assigned a recruiter role that grants access to a separate dashboard with CRUD operations for internship listings. Each listing includes fields for title, company name, location (remote/in-person), stipend range, duration, required skills, and application deadline.</w:t>
      </w:r>
    </w:p>
    <w:p>
      <w:pPr>
        <w:spacing w:before="0" w:after="120" w:line="360" w:lineRule="exact"/>
        <w:jc w:val="both"/>
      </w:pPr>
      <w:r>
        <w:rPr>
          <w:rFonts w:ascii="Times New Roman" w:hAnsi="Times New Roman"/>
          <w:b w:val="0"/>
          <w:i w:val="0"/>
          <w:sz w:val="24"/>
        </w:rPr>
        <w:t>Students can browse active internship listings from the Explore page and submit applications directly through the platform. Application data, including the student's profile, Focus Points ranking, and completed certificates, is automatically compiled into a structured applicant profile accessible to the recruiter. This integration creates a closed-loop employment pathway that directly rewards high-engagement learners with internship opportunities matched to their demonstrated competencies.</w:t>
      </w:r>
    </w:p>
    <w:p>
      <w:pPr>
        <w:jc w:val="center"/>
      </w:pPr>
      <w:r>
        <w:drawing>
          <wp:inline xmlns:a="http://schemas.openxmlformats.org/drawingml/2006/main" xmlns:pic="http://schemas.openxmlformats.org/drawingml/2006/picture">
            <wp:extent cx="5029200" cy="2202385"/>
            <wp:docPr id="12" name="Picture 12"/>
            <wp:cNvGraphicFramePr>
              <a:graphicFrameLocks noChangeAspect="1"/>
            </wp:cNvGraphicFramePr>
            <a:graphic>
              <a:graphicData uri="http://schemas.openxmlformats.org/drawingml/2006/picture">
                <pic:pic>
                  <pic:nvPicPr>
                    <pic:cNvPr id="0" name="fig3_10_cert.png"/>
                    <pic:cNvPicPr/>
                  </pic:nvPicPr>
                  <pic:blipFill>
                    <a:blip r:embed="rId19"/>
                    <a:stretch>
                      <a:fillRect/>
                    </a:stretch>
                  </pic:blipFill>
                  <pic:spPr>
                    <a:xfrm>
                      <a:off x="0" y="0"/>
                      <a:ext cx="5029200" cy="2202385"/>
                    </a:xfrm>
                    <a:prstGeom prst="rect"/>
                  </pic:spPr>
                </pic:pic>
              </a:graphicData>
            </a:graphic>
          </wp:inline>
        </w:drawing>
      </w:r>
    </w:p>
    <w:p>
      <w:pPr>
        <w:spacing w:before="40" w:after="240" w:line="360" w:lineRule="exact"/>
        <w:jc w:val="center"/>
      </w:pPr>
      <w:r>
        <w:rPr>
          <w:rFonts w:ascii="Times New Roman" w:hAnsi="Times New Roman"/>
          <w:b w:val="0"/>
          <w:i/>
          <w:sz w:val="22"/>
        </w:rPr>
        <w:t>Fig 3.10 – Certificate Generation Flow</w:t>
      </w:r>
    </w:p>
    <w:p>
      <w:r>
        <w:br w:type="page"/>
      </w:r>
    </w:p>
    <w:p>
      <w:pPr>
        <w:spacing w:before="480" w:after="80" w:line="360" w:lineRule="exact"/>
        <w:jc w:val="center"/>
      </w:pPr>
      <w:r>
        <w:rPr>
          <w:rFonts w:ascii="Times New Roman" w:hAnsi="Times New Roman"/>
          <w:b/>
          <w:i w:val="0"/>
          <w:sz w:val="28"/>
        </w:rPr>
        <w:t>CHAPTER 4</w:t>
      </w:r>
    </w:p>
    <w:p>
      <w:pPr>
        <w:spacing w:before="0" w:after="360" w:line="360" w:lineRule="exact"/>
        <w:jc w:val="center"/>
      </w:pPr>
      <w:r>
        <w:rPr>
          <w:rFonts w:ascii="Times New Roman" w:hAnsi="Times New Roman"/>
          <w:b/>
          <w:i w:val="0"/>
          <w:sz w:val="28"/>
        </w:rPr>
        <w:t>IMPLEMENTATION &amp; RESULTS</w:t>
      </w:r>
    </w:p>
    <w:p>
      <w:pPr>
        <w:spacing w:before="240" w:after="120" w:line="360" w:lineRule="exact"/>
        <w:jc w:val="left"/>
      </w:pPr>
      <w:r>
        <w:rPr>
          <w:rFonts w:ascii="Times New Roman" w:hAnsi="Times New Roman"/>
          <w:b/>
          <w:i w:val="0"/>
          <w:sz w:val="24"/>
        </w:rPr>
        <w:t>4.1  Tools &amp; Technologies Used</w:t>
      </w:r>
    </w:p>
    <w:p>
      <w:pPr>
        <w:jc w:val="center"/>
      </w:pPr>
      <w:r>
        <w:drawing>
          <wp:inline xmlns:a="http://schemas.openxmlformats.org/drawingml/2006/main" xmlns:pic="http://schemas.openxmlformats.org/drawingml/2006/picture">
            <wp:extent cx="5029200" cy="2981997"/>
            <wp:docPr id="13" name="Picture 13"/>
            <wp:cNvGraphicFramePr>
              <a:graphicFrameLocks noChangeAspect="1"/>
            </wp:cNvGraphicFramePr>
            <a:graphic>
              <a:graphicData uri="http://schemas.openxmlformats.org/drawingml/2006/picture">
                <pic:pic>
                  <pic:nvPicPr>
                    <pic:cNvPr id="0" name="fig4_1_requirements.png"/>
                    <pic:cNvPicPr/>
                  </pic:nvPicPr>
                  <pic:blipFill>
                    <a:blip r:embed="rId20"/>
                    <a:stretch>
                      <a:fillRect/>
                    </a:stretch>
                  </pic:blipFill>
                  <pic:spPr>
                    <a:xfrm>
                      <a:off x="0" y="0"/>
                      <a:ext cx="5029200" cy="2981997"/>
                    </a:xfrm>
                    <a:prstGeom prst="rect"/>
                  </pic:spPr>
                </pic:pic>
              </a:graphicData>
            </a:graphic>
          </wp:inline>
        </w:drawing>
      </w:r>
    </w:p>
    <w:p>
      <w:pPr>
        <w:spacing w:before="40" w:after="240" w:line="360" w:lineRule="exact"/>
        <w:jc w:val="center"/>
      </w:pPr>
      <w:r>
        <w:rPr>
          <w:rFonts w:ascii="Times New Roman" w:hAnsi="Times New Roman"/>
          <w:b w:val="0"/>
          <w:i/>
          <w:sz w:val="22"/>
        </w:rPr>
        <w:t>Fig 4.1 – System Requirements Overview</w:t>
      </w:r>
    </w:p>
    <w:p>
      <w:pPr>
        <w:spacing w:before="160" w:after="80" w:line="360" w:lineRule="exact"/>
        <w:jc w:val="center"/>
      </w:pPr>
      <w:r>
        <w:rPr>
          <w:rFonts w:ascii="Times New Roman" w:hAnsi="Times New Roman"/>
          <w:b/>
          <w:i/>
          <w:sz w:val="22"/>
        </w:rPr>
        <w:t>Table 4.1 – Tools and Technologies Used</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val="clear"/>
          </w:tcPr>
          <w:p>
            <w:r>
              <w:rPr>
                <w:b/>
                <w:sz w:val="18"/>
              </w:rPr>
              <w:t>Tool / Technology</w:t>
            </w:r>
          </w:p>
        </w:tc>
        <w:tc>
          <w:tcPr>
            <w:tcW w:type="dxa" w:w="2890"/>
            <w:shd w:fill="BFD7FF" w:val="clear"/>
          </w:tcPr>
          <w:p>
            <w:r>
              <w:rPr>
                <w:b/>
                <w:sz w:val="18"/>
              </w:rPr>
              <w:t>Purpose</w:t>
            </w:r>
          </w:p>
        </w:tc>
        <w:tc>
          <w:tcPr>
            <w:tcW w:type="dxa" w:w="2890"/>
            <w:shd w:fill="BFD7FF" w:val="clear"/>
          </w:tcPr>
          <w:p>
            <w:r>
              <w:rPr>
                <w:b/>
                <w:sz w:val="18"/>
              </w:rPr>
              <w:t>Version</w:t>
            </w:r>
          </w:p>
        </w:tc>
      </w:tr>
      <w:tr>
        <w:tc>
          <w:tcPr>
            <w:tcW w:type="dxa" w:w="2890"/>
          </w:tcPr>
          <w:p>
            <w:r>
              <w:rPr>
                <w:sz w:val="18"/>
              </w:rPr>
              <w:t>React 19</w:t>
            </w:r>
          </w:p>
        </w:tc>
        <w:tc>
          <w:tcPr>
            <w:tcW w:type="dxa" w:w="2890"/>
          </w:tcPr>
          <w:p>
            <w:r>
              <w:rPr>
                <w:sz w:val="18"/>
              </w:rPr>
              <w:t>Frontend UI Framework</w:t>
            </w:r>
          </w:p>
        </w:tc>
        <w:tc>
          <w:tcPr>
            <w:tcW w:type="dxa" w:w="2890"/>
          </w:tcPr>
          <w:p>
            <w:r>
              <w:rPr>
                <w:sz w:val="18"/>
              </w:rPr>
              <w:t>19.x</w:t>
            </w:r>
          </w:p>
        </w:tc>
      </w:tr>
      <w:tr>
        <w:tc>
          <w:tcPr>
            <w:tcW w:type="dxa" w:w="2890"/>
          </w:tcPr>
          <w:p>
            <w:r>
              <w:rPr>
                <w:sz w:val="18"/>
              </w:rPr>
              <w:t>Vite</w:t>
            </w:r>
          </w:p>
        </w:tc>
        <w:tc>
          <w:tcPr>
            <w:tcW w:type="dxa" w:w="2890"/>
          </w:tcPr>
          <w:p>
            <w:r>
              <w:rPr>
                <w:sz w:val="18"/>
              </w:rPr>
              <w:t>Build Tool &amp; Dev Server</w:t>
            </w:r>
          </w:p>
        </w:tc>
        <w:tc>
          <w:tcPr>
            <w:tcW w:type="dxa" w:w="2890"/>
          </w:tcPr>
          <w:p>
            <w:r>
              <w:rPr>
                <w:sz w:val="18"/>
              </w:rPr>
              <w:t>5.x</w:t>
            </w:r>
          </w:p>
        </w:tc>
      </w:tr>
      <w:tr>
        <w:tc>
          <w:tcPr>
            <w:tcW w:type="dxa" w:w="2890"/>
          </w:tcPr>
          <w:p>
            <w:r>
              <w:rPr>
                <w:sz w:val="18"/>
              </w:rPr>
              <w:t>TailwindCSS</w:t>
            </w:r>
          </w:p>
        </w:tc>
        <w:tc>
          <w:tcPr>
            <w:tcW w:type="dxa" w:w="2890"/>
          </w:tcPr>
          <w:p>
            <w:r>
              <w:rPr>
                <w:sz w:val="18"/>
              </w:rPr>
              <w:t>Glassmorphism Styling</w:t>
            </w:r>
          </w:p>
        </w:tc>
        <w:tc>
          <w:tcPr>
            <w:tcW w:type="dxa" w:w="2890"/>
          </w:tcPr>
          <w:p>
            <w:r>
              <w:rPr>
                <w:sz w:val="18"/>
              </w:rPr>
              <w:t>3.x</w:t>
            </w:r>
          </w:p>
        </w:tc>
      </w:tr>
      <w:tr>
        <w:tc>
          <w:tcPr>
            <w:tcW w:type="dxa" w:w="2890"/>
          </w:tcPr>
          <w:p>
            <w:r>
              <w:rPr>
                <w:sz w:val="18"/>
              </w:rPr>
              <w:t>Framer Motion</w:t>
            </w:r>
          </w:p>
        </w:tc>
        <w:tc>
          <w:tcPr>
            <w:tcW w:type="dxa" w:w="2890"/>
          </w:tcPr>
          <w:p>
            <w:r>
              <w:rPr>
                <w:sz w:val="18"/>
              </w:rPr>
              <w:t>UI Micro-animations</w:t>
            </w:r>
          </w:p>
        </w:tc>
        <w:tc>
          <w:tcPr>
            <w:tcW w:type="dxa" w:w="2890"/>
          </w:tcPr>
          <w:p>
            <w:r>
              <w:rPr>
                <w:sz w:val="18"/>
              </w:rPr>
              <w:t>10.x</w:t>
            </w:r>
          </w:p>
        </w:tc>
      </w:tr>
      <w:tr>
        <w:tc>
          <w:tcPr>
            <w:tcW w:type="dxa" w:w="2890"/>
          </w:tcPr>
          <w:p>
            <w:r>
              <w:rPr>
                <w:sz w:val="18"/>
              </w:rPr>
              <w:t>FastAPI</w:t>
            </w:r>
          </w:p>
        </w:tc>
        <w:tc>
          <w:tcPr>
            <w:tcW w:type="dxa" w:w="2890"/>
          </w:tcPr>
          <w:p>
            <w:r>
              <w:rPr>
                <w:sz w:val="18"/>
              </w:rPr>
              <w:t>Backend REST API (Python)</w:t>
            </w:r>
          </w:p>
        </w:tc>
        <w:tc>
          <w:tcPr>
            <w:tcW w:type="dxa" w:w="2890"/>
          </w:tcPr>
          <w:p>
            <w:r>
              <w:rPr>
                <w:sz w:val="18"/>
              </w:rPr>
              <w:t>0.110+</w:t>
            </w:r>
          </w:p>
        </w:tc>
      </w:tr>
      <w:tr>
        <w:tc>
          <w:tcPr>
            <w:tcW w:type="dxa" w:w="2890"/>
          </w:tcPr>
          <w:p>
            <w:r>
              <w:rPr>
                <w:sz w:val="18"/>
              </w:rPr>
              <w:t>Uvicorn</w:t>
            </w:r>
          </w:p>
        </w:tc>
        <w:tc>
          <w:tcPr>
            <w:tcW w:type="dxa" w:w="2890"/>
          </w:tcPr>
          <w:p>
            <w:r>
              <w:rPr>
                <w:sz w:val="18"/>
              </w:rPr>
              <w:t>ASGI Server</w:t>
            </w:r>
          </w:p>
        </w:tc>
        <w:tc>
          <w:tcPr>
            <w:tcW w:type="dxa" w:w="2890"/>
          </w:tcPr>
          <w:p>
            <w:r>
              <w:rPr>
                <w:sz w:val="18"/>
              </w:rPr>
              <w:t>0.29+</w:t>
            </w:r>
          </w:p>
        </w:tc>
      </w:tr>
      <w:tr>
        <w:tc>
          <w:tcPr>
            <w:tcW w:type="dxa" w:w="2890"/>
          </w:tcPr>
          <w:p>
            <w:r>
              <w:rPr>
                <w:sz w:val="18"/>
              </w:rPr>
              <w:t>Python</w:t>
            </w:r>
          </w:p>
        </w:tc>
        <w:tc>
          <w:tcPr>
            <w:tcW w:type="dxa" w:w="2890"/>
          </w:tcPr>
          <w:p>
            <w:r>
              <w:rPr>
                <w:sz w:val="18"/>
              </w:rPr>
              <w:t>Backend Language</w:t>
            </w:r>
          </w:p>
        </w:tc>
        <w:tc>
          <w:tcPr>
            <w:tcW w:type="dxa" w:w="2890"/>
          </w:tcPr>
          <w:p>
            <w:r>
              <w:rPr>
                <w:sz w:val="18"/>
              </w:rPr>
              <w:t>3.11+</w:t>
            </w:r>
          </w:p>
        </w:tc>
      </w:tr>
      <w:tr>
        <w:tc>
          <w:tcPr>
            <w:tcW w:type="dxa" w:w="2890"/>
          </w:tcPr>
          <w:p>
            <w:r>
              <w:rPr>
                <w:sz w:val="18"/>
              </w:rPr>
              <w:t>MongoDB Atlas</w:t>
            </w:r>
          </w:p>
        </w:tc>
        <w:tc>
          <w:tcPr>
            <w:tcW w:type="dxa" w:w="2890"/>
          </w:tcPr>
          <w:p>
            <w:r>
              <w:rPr>
                <w:sz w:val="18"/>
              </w:rPr>
              <w:t>Primary NoSQL Database</w:t>
            </w:r>
          </w:p>
        </w:tc>
        <w:tc>
          <w:tcPr>
            <w:tcW w:type="dxa" w:w="2890"/>
          </w:tcPr>
          <w:p>
            <w:r>
              <w:rPr>
                <w:sz w:val="18"/>
              </w:rPr>
              <w:t>7.x</w:t>
            </w:r>
          </w:p>
        </w:tc>
      </w:tr>
      <w:tr>
        <w:tc>
          <w:tcPr>
            <w:tcW w:type="dxa" w:w="2890"/>
          </w:tcPr>
          <w:p>
            <w:r>
              <w:rPr>
                <w:sz w:val="18"/>
              </w:rPr>
              <w:t>Pinecone</w:t>
            </w:r>
          </w:p>
        </w:tc>
        <w:tc>
          <w:tcPr>
            <w:tcW w:type="dxa" w:w="2890"/>
          </w:tcPr>
          <w:p>
            <w:r>
              <w:rPr>
                <w:sz w:val="18"/>
              </w:rPr>
              <w:t>Vector Database (Embeddings)</w:t>
            </w:r>
          </w:p>
        </w:tc>
        <w:tc>
          <w:tcPr>
            <w:tcW w:type="dxa" w:w="2890"/>
          </w:tcPr>
          <w:p>
            <w:r>
              <w:rPr>
                <w:sz w:val="18"/>
              </w:rPr>
              <w:t>Latest</w:t>
            </w:r>
          </w:p>
        </w:tc>
      </w:tr>
      <w:tr>
        <w:tc>
          <w:tcPr>
            <w:tcW w:type="dxa" w:w="2890"/>
          </w:tcPr>
          <w:p>
            <w:r>
              <w:rPr>
                <w:sz w:val="18"/>
              </w:rPr>
              <w:t>MediaPipe</w:t>
            </w:r>
          </w:p>
        </w:tc>
        <w:tc>
          <w:tcPr>
            <w:tcW w:type="dxa" w:w="2890"/>
          </w:tcPr>
          <w:p>
            <w:r>
              <w:rPr>
                <w:sz w:val="18"/>
              </w:rPr>
              <w:t>Face Mesh AI (Browser-native)</w:t>
            </w:r>
          </w:p>
        </w:tc>
        <w:tc>
          <w:tcPr>
            <w:tcW w:type="dxa" w:w="2890"/>
          </w:tcPr>
          <w:p>
            <w:r>
              <w:rPr>
                <w:sz w:val="18"/>
              </w:rPr>
              <w:t>0.10+</w:t>
            </w:r>
          </w:p>
        </w:tc>
      </w:tr>
      <w:tr>
        <w:tc>
          <w:tcPr>
            <w:tcW w:type="dxa" w:w="2890"/>
          </w:tcPr>
          <w:p>
            <w:r>
              <w:rPr>
                <w:sz w:val="18"/>
              </w:rPr>
              <w:t>Google Gemini</w:t>
            </w:r>
          </w:p>
        </w:tc>
        <w:tc>
          <w:tcPr>
            <w:tcW w:type="dxa" w:w="2890"/>
          </w:tcPr>
          <w:p>
            <w:r>
              <w:rPr>
                <w:sz w:val="18"/>
              </w:rPr>
              <w:t>LLM – ChatBot &amp; Summaries</w:t>
            </w:r>
          </w:p>
        </w:tc>
        <w:tc>
          <w:tcPr>
            <w:tcW w:type="dxa" w:w="2890"/>
          </w:tcPr>
          <w:p>
            <w:r>
              <w:rPr>
                <w:sz w:val="18"/>
              </w:rPr>
              <w:t>1.5 Flash</w:t>
            </w:r>
          </w:p>
        </w:tc>
      </w:tr>
      <w:tr>
        <w:tc>
          <w:tcPr>
            <w:tcW w:type="dxa" w:w="2890"/>
          </w:tcPr>
          <w:p>
            <w:r>
              <w:rPr>
                <w:sz w:val="18"/>
              </w:rPr>
              <w:t>WebRTC</w:t>
            </w:r>
          </w:p>
        </w:tc>
        <w:tc>
          <w:tcPr>
            <w:tcW w:type="dxa" w:w="2890"/>
          </w:tcPr>
          <w:p>
            <w:r>
              <w:rPr>
                <w:sz w:val="18"/>
              </w:rPr>
              <w:t>Peer-to-Peer Video</w:t>
            </w:r>
          </w:p>
        </w:tc>
        <w:tc>
          <w:tcPr>
            <w:tcW w:type="dxa" w:w="2890"/>
          </w:tcPr>
          <w:p>
            <w:r>
              <w:rPr>
                <w:sz w:val="18"/>
              </w:rPr>
              <w:t>Browser Native</w:t>
            </w:r>
          </w:p>
        </w:tc>
      </w:tr>
      <w:tr>
        <w:tc>
          <w:tcPr>
            <w:tcW w:type="dxa" w:w="2890"/>
          </w:tcPr>
          <w:p>
            <w:r>
              <w:rPr>
                <w:sz w:val="18"/>
              </w:rPr>
              <w:t>Socket.IO</w:t>
            </w:r>
          </w:p>
        </w:tc>
        <w:tc>
          <w:tcPr>
            <w:tcW w:type="dxa" w:w="2890"/>
          </w:tcPr>
          <w:p>
            <w:r>
              <w:rPr>
                <w:sz w:val="18"/>
              </w:rPr>
              <w:t>Real-time Signaling &amp; Events</w:t>
            </w:r>
          </w:p>
        </w:tc>
        <w:tc>
          <w:tcPr>
            <w:tcW w:type="dxa" w:w="2890"/>
          </w:tcPr>
          <w:p>
            <w:r>
              <w:rPr>
                <w:sz w:val="18"/>
              </w:rPr>
              <w:t>4.x</w:t>
            </w:r>
          </w:p>
        </w:tc>
      </w:tr>
      <w:tr>
        <w:tc>
          <w:tcPr>
            <w:tcW w:type="dxa" w:w="2890"/>
          </w:tcPr>
          <w:p>
            <w:r>
              <w:rPr>
                <w:sz w:val="18"/>
              </w:rPr>
              <w:t>PyJWT</w:t>
            </w:r>
          </w:p>
        </w:tc>
        <w:tc>
          <w:tcPr>
            <w:tcW w:type="dxa" w:w="2890"/>
          </w:tcPr>
          <w:p>
            <w:r>
              <w:rPr>
                <w:sz w:val="18"/>
              </w:rPr>
              <w:t>JWT Authentication</w:t>
            </w:r>
          </w:p>
        </w:tc>
        <w:tc>
          <w:tcPr>
            <w:tcW w:type="dxa" w:w="2890"/>
          </w:tcPr>
          <w:p>
            <w:r>
              <w:rPr>
                <w:sz w:val="18"/>
              </w:rPr>
              <w:t>2.x</w:t>
            </w:r>
          </w:p>
        </w:tc>
      </w:tr>
      <w:tr>
        <w:tc>
          <w:tcPr>
            <w:tcW w:type="dxa" w:w="2890"/>
          </w:tcPr>
          <w:p>
            <w:r>
              <w:rPr>
                <w:sz w:val="18"/>
              </w:rPr>
              <w:t>ReportLab</w:t>
            </w:r>
          </w:p>
        </w:tc>
        <w:tc>
          <w:tcPr>
            <w:tcW w:type="dxa" w:w="2890"/>
          </w:tcPr>
          <w:p>
            <w:r>
              <w:rPr>
                <w:sz w:val="18"/>
              </w:rPr>
              <w:t>Certificate PDF Generation</w:t>
            </w:r>
          </w:p>
        </w:tc>
        <w:tc>
          <w:tcPr>
            <w:tcW w:type="dxa" w:w="2890"/>
          </w:tcPr>
          <w:p>
            <w:r>
              <w:rPr>
                <w:sz w:val="18"/>
              </w:rPr>
              <w:t>4.x</w:t>
            </w:r>
          </w:p>
        </w:tc>
      </w:tr>
      <w:tr>
        <w:tc>
          <w:tcPr>
            <w:tcW w:type="dxa" w:w="2890"/>
          </w:tcPr>
          <w:p>
            <w:r>
              <w:rPr>
                <w:sz w:val="18"/>
              </w:rPr>
              <w:t>Vercel</w:t>
            </w:r>
          </w:p>
        </w:tc>
        <w:tc>
          <w:tcPr>
            <w:tcW w:type="dxa" w:w="2890"/>
          </w:tcPr>
          <w:p>
            <w:r>
              <w:rPr>
                <w:sz w:val="18"/>
              </w:rPr>
              <w:t>Frontend Cloud Deployment</w:t>
            </w:r>
          </w:p>
        </w:tc>
        <w:tc>
          <w:tcPr>
            <w:tcW w:type="dxa" w:w="2890"/>
          </w:tcPr>
          <w:p>
            <w:r>
              <w:rPr>
                <w:sz w:val="18"/>
              </w:rPr>
              <w:t>—</w:t>
            </w:r>
          </w:p>
        </w:tc>
      </w:tr>
      <w:tr>
        <w:tc>
          <w:tcPr>
            <w:tcW w:type="dxa" w:w="2890"/>
          </w:tcPr>
          <w:p>
            <w:r>
              <w:rPr>
                <w:sz w:val="18"/>
              </w:rPr>
              <w:t>Railway</w:t>
            </w:r>
          </w:p>
        </w:tc>
        <w:tc>
          <w:tcPr>
            <w:tcW w:type="dxa" w:w="2890"/>
          </w:tcPr>
          <w:p>
            <w:r>
              <w:rPr>
                <w:sz w:val="18"/>
              </w:rPr>
              <w:t>Backend Cloud Deployment</w:t>
            </w:r>
          </w:p>
        </w:tc>
        <w:tc>
          <w:tcPr>
            <w:tcW w:type="dxa" w:w="2890"/>
          </w:tcPr>
          <w:p>
            <w:r>
              <w:rPr>
                <w:sz w:val="18"/>
              </w:rPr>
              <w:t>—</w:t>
            </w:r>
          </w:p>
        </w:tc>
      </w:tr>
    </w:tbl>
    <w:p/>
    <w:p>
      <w:pPr>
        <w:spacing w:before="240" w:after="120" w:line="360" w:lineRule="exact"/>
        <w:jc w:val="left"/>
      </w:pPr>
      <w:r>
        <w:rPr>
          <w:rFonts w:ascii="Times New Roman" w:hAnsi="Times New Roman"/>
          <w:b/>
          <w:i w:val="0"/>
          <w:sz w:val="24"/>
        </w:rPr>
        <w:t>4.2  System Implementation</w:t>
      </w:r>
    </w:p>
    <w:p>
      <w:pPr>
        <w:spacing w:before="0" w:after="120" w:line="360" w:lineRule="exact"/>
        <w:jc w:val="both"/>
      </w:pPr>
      <w:r>
        <w:rPr>
          <w:rFonts w:ascii="Times New Roman" w:hAnsi="Times New Roman"/>
          <w:b w:val="0"/>
          <w:i w:val="0"/>
          <w:sz w:val="24"/>
        </w:rPr>
        <w:t>The Internixa codebase is organised into two primary directories: frontend/ (the React application) and backend-python/ (the FastAPI service). The frontend directory contains the React component tree, CSS modules, MediaPipe integration logic, and Vite configuration. The backend-python directory contains the FastAPI application, route handlers, database models, utility functions (certificate generation, summarisation, embedding), and environment configuration.</w:t>
      </w:r>
    </w:p>
    <w:p>
      <w:pPr>
        <w:spacing w:before="0" w:after="120" w:line="360" w:lineRule="exact"/>
        <w:jc w:val="both"/>
      </w:pPr>
      <w:r>
        <w:rPr>
          <w:rFonts w:ascii="Times New Roman" w:hAnsi="Times New Roman"/>
          <w:b w:val="0"/>
          <w:i w:val="0"/>
          <w:sz w:val="24"/>
        </w:rPr>
        <w:t>Environment configuration is managed via .env files at both the frontend and backend levels. The backend .env contains the MongoDB Atlas connection URI, JWT secret key, Pinecone API key and index name, and the Google Gemini API key. The frontend .env.local contains the backend API base URL and the Socket.IO server URL. Both .env files are excluded from version control via .gitignore. The Railway deployment reads environment variables from the Railway service configuration panel, and the Vercel deployment reads from the Vercel project environment settings.</w:t>
      </w:r>
    </w:p>
    <w:p>
      <w:pPr>
        <w:spacing w:before="0" w:after="120" w:line="360" w:lineRule="exact"/>
        <w:jc w:val="both"/>
      </w:pPr>
      <w:r>
        <w:rPr>
          <w:rFonts w:ascii="Times New Roman" w:hAnsi="Times New Roman"/>
          <w:b w:val="0"/>
          <w:i w:val="0"/>
          <w:sz w:val="24"/>
        </w:rPr>
        <w:t>Cross-Origin Resource Sharing (CORS) is configured on the FastAPI application to accept requests from the Vercel deployment domain and localhost:5173 for local development. JWT tokens are issued with a 24-hour expiry upon successful authentication and must be included as a Bearer token in the Authorization header of all authenticated API requests. The backend validates token integrity and expiry on every protected route using a FastAPI dependency function.</w:t>
      </w:r>
    </w:p>
    <w:p>
      <w:pPr>
        <w:spacing w:before="240" w:after="120" w:line="360" w:lineRule="exact"/>
        <w:jc w:val="left"/>
      </w:pPr>
      <w:r>
        <w:rPr>
          <w:rFonts w:ascii="Times New Roman" w:hAnsi="Times New Roman"/>
          <w:b/>
          <w:i w:val="0"/>
          <w:sz w:val="24"/>
        </w:rPr>
        <w:t>4.3  Working Model – Step-by-Step Execution</w:t>
      </w:r>
    </w:p>
    <w:p>
      <w:pPr>
        <w:spacing w:before="0" w:after="60" w:line="360" w:lineRule="exact"/>
        <w:jc w:val="left"/>
      </w:pPr>
      <w:r>
        <w:rPr>
          <w:rFonts w:ascii="Times New Roman" w:hAnsi="Times New Roman"/>
          <w:b w:val="0"/>
          <w:i w:val="0"/>
          <w:sz w:val="22"/>
        </w:rPr>
        <w:t xml:space="preserve">  •  1. Student Registration &amp; Authentication: The student submits a registration form with name, email, and password. The FastAPI backend hashes the password using bcrypt, stores the user document in MongoDB, and returns a signed JWT. Subsequent logins validate credentials and return a fresh JWT with a 24-hour validity window.</w:t>
      </w:r>
    </w:p>
    <w:p>
      <w:pPr>
        <w:spacing w:before="0" w:after="60" w:line="360" w:lineRule="exact"/>
        <w:jc w:val="left"/>
      </w:pPr>
      <w:r>
        <w:rPr>
          <w:rFonts w:ascii="Times New Roman" w:hAnsi="Times New Roman"/>
          <w:b w:val="0"/>
          <w:i w:val="0"/>
          <w:sz w:val="22"/>
        </w:rPr>
        <w:t xml:space="preserve">  •  2. Course Discovery: The authenticated student navigates to the Explore Courses page. The frontend issues a GET /api/courses request with the JWT. The backend queries MongoDB for all published course documents and returns metadata (title, description, thumbnail URL, instructor name, duration). The frontend renders the course catalogue as an animated card grid.</w:t>
      </w:r>
    </w:p>
    <w:p>
      <w:pPr>
        <w:spacing w:before="0" w:after="60" w:line="360" w:lineRule="exact"/>
        <w:jc w:val="left"/>
      </w:pPr>
      <w:r>
        <w:rPr>
          <w:rFonts w:ascii="Times New Roman" w:hAnsi="Times New Roman"/>
          <w:b w:val="0"/>
          <w:i w:val="0"/>
          <w:sz w:val="22"/>
        </w:rPr>
        <w:t xml:space="preserve">  •  3. Course Video Initiation: The student clicks a course card and is navigated to the Course Player page. The HTML5 video element loads the course video from the CDN. The AI Monitoring Engine requests webcam permission via getUserMedia(). Upon permission grant, MediaPipe Face Mesh initialises and begins processing frames at 30 FPS.</w:t>
      </w:r>
    </w:p>
    <w:p>
      <w:pPr>
        <w:spacing w:before="0" w:after="60" w:line="360" w:lineRule="exact"/>
        <w:jc w:val="left"/>
      </w:pPr>
      <w:r>
        <w:rPr>
          <w:rFonts w:ascii="Times New Roman" w:hAnsi="Times New Roman"/>
          <w:b w:val="0"/>
          <w:i w:val="0"/>
          <w:sz w:val="22"/>
        </w:rPr>
        <w:t xml:space="preserve">  •  4. Real-Time Attention Monitoring: For each processed frame, the EAR and gaze deviation are computed. If the student's attention is confirmed, active_time increments. If the DISTRACTED state is triggered, the video pauses and a gentle on-screen prompt appears. Focus percentage is displayed in the HUD overlay.</w:t>
      </w:r>
    </w:p>
    <w:p>
      <w:pPr>
        <w:spacing w:before="0" w:after="60" w:line="360" w:lineRule="exact"/>
        <w:jc w:val="left"/>
      </w:pPr>
      <w:r>
        <w:rPr>
          <w:rFonts w:ascii="Times New Roman" w:hAnsi="Times New Roman"/>
          <w:b w:val="0"/>
          <w:i w:val="0"/>
          <w:sz w:val="22"/>
        </w:rPr>
        <w:t xml:space="preserve">  •  5. AI Chatbot Interaction: The student types a question into the chatbot panel. The frontend sends a POST /api/chatbot/chat request with the question and course ID. The backend executes the RAG pipeline and streams the Gemini response back via SSE. The interaction is logged and the student's FP balance is incremented by 5.</w:t>
      </w:r>
    </w:p>
    <w:p>
      <w:pPr>
        <w:spacing w:before="0" w:after="60" w:line="360" w:lineRule="exact"/>
        <w:jc w:val="left"/>
      </w:pPr>
      <w:r>
        <w:rPr>
          <w:rFonts w:ascii="Times New Roman" w:hAnsi="Times New Roman"/>
          <w:b w:val="0"/>
          <w:i w:val="0"/>
          <w:sz w:val="22"/>
        </w:rPr>
        <w:t xml:space="preserve">  •  6. Session Completion &amp; Certificate Check: When the video ends, the frontend sends a POST /api/session/complete request with active_time and session_time. The backend computes the engagement score. If score ≥ 70%, ReportLab generates the certificate PDF and stores it in GridFS. The download URL is returned to the client. If score &lt; 70%, a motivational message with the current score is returned.</w:t>
      </w:r>
    </w:p>
    <w:p>
      <w:pPr>
        <w:spacing w:before="0" w:after="60" w:line="360" w:lineRule="exact"/>
        <w:jc w:val="left"/>
      </w:pPr>
      <w:r>
        <w:rPr>
          <w:rFonts w:ascii="Times New Roman" w:hAnsi="Times New Roman"/>
          <w:b w:val="0"/>
          <w:i w:val="0"/>
          <w:sz w:val="22"/>
        </w:rPr>
        <w:t xml:space="preserve">  •  7. Focus Points Update &amp; Leaderboard: The session FP delta is added to the student's cumulative FP total in MongoDB. The leaderboard collection is updated atomically. The frontend fetches the updated leaderboard on the next 30-second polling cycle and animates any rank changes.</w:t>
      </w:r>
    </w:p>
    <w:p>
      <w:pPr>
        <w:spacing w:before="0" w:after="60" w:line="360" w:lineRule="exact"/>
        <w:jc w:val="left"/>
      </w:pPr>
      <w:r>
        <w:rPr>
          <w:rFonts w:ascii="Times New Roman" w:hAnsi="Times New Roman"/>
          <w:b w:val="0"/>
          <w:i w:val="0"/>
          <w:sz w:val="22"/>
        </w:rPr>
        <w:t xml:space="preserve">  •  8. Smart Study Sheet Generation: Concurrently with the session completion request, the frontend triggers POST /api/summary/generate. The backend sends the course transcript to Gemini with a summarisation prompt. The Markdown-formatted study sheet is returned and rendered in the study sheet viewer panel.</w:t>
      </w:r>
    </w:p>
    <w:p>
      <w:pPr>
        <w:spacing w:before="240" w:after="120" w:line="360" w:lineRule="exact"/>
        <w:jc w:val="left"/>
      </w:pPr>
      <w:r>
        <w:rPr>
          <w:rFonts w:ascii="Times New Roman" w:hAnsi="Times New Roman"/>
          <w:b/>
          <w:i w:val="0"/>
          <w:sz w:val="24"/>
        </w:rPr>
        <w:t>4.4  Screenshots / UI Walkthrough</w:t>
      </w:r>
    </w:p>
    <w:p>
      <w:pPr>
        <w:jc w:val="center"/>
      </w:pPr>
      <w:r>
        <w:drawing>
          <wp:inline xmlns:a="http://schemas.openxmlformats.org/drawingml/2006/main" xmlns:pic="http://schemas.openxmlformats.org/drawingml/2006/picture">
            <wp:extent cx="5029200" cy="2981997"/>
            <wp:docPr id="14" name="Picture 14"/>
            <wp:cNvGraphicFramePr>
              <a:graphicFrameLocks noChangeAspect="1"/>
            </wp:cNvGraphicFramePr>
            <a:graphic>
              <a:graphicData uri="http://schemas.openxmlformats.org/drawingml/2006/picture">
                <pic:pic>
                  <pic:nvPicPr>
                    <pic:cNvPr id="0" name="fig4_1_requirements.png"/>
                    <pic:cNvPicPr/>
                  </pic:nvPicPr>
                  <pic:blipFill>
                    <a:blip r:embed="rId20"/>
                    <a:stretch>
                      <a:fillRect/>
                    </a:stretch>
                  </pic:blipFill>
                  <pic:spPr>
                    <a:xfrm>
                      <a:off x="0" y="0"/>
                      <a:ext cx="5029200" cy="2981997"/>
                    </a:xfrm>
                    <a:prstGeom prst="rect"/>
                  </pic:spPr>
                </pic:pic>
              </a:graphicData>
            </a:graphic>
          </wp:inline>
        </w:drawing>
      </w:r>
    </w:p>
    <w:p>
      <w:pPr>
        <w:spacing w:before="40" w:after="240" w:line="360" w:lineRule="exact"/>
        <w:jc w:val="center"/>
      </w:pPr>
      <w:r>
        <w:rPr>
          <w:rFonts w:ascii="Times New Roman" w:hAnsi="Times New Roman"/>
          <w:b w:val="0"/>
          <w:i/>
          <w:sz w:val="22"/>
        </w:rPr>
        <w:t>Fig 4.1 – System Requirements Overview</w:t>
      </w:r>
    </w:p>
    <w:p>
      <w:pPr>
        <w:jc w:val="center"/>
      </w:pPr>
      <w:r>
        <w:drawing>
          <wp:inline xmlns:a="http://schemas.openxmlformats.org/drawingml/2006/main" xmlns:pic="http://schemas.openxmlformats.org/drawingml/2006/picture">
            <wp:extent cx="5029200" cy="2439816"/>
            <wp:docPr id="15" name="Picture 15"/>
            <wp:cNvGraphicFramePr>
              <a:graphicFrameLocks noChangeAspect="1"/>
            </wp:cNvGraphicFramePr>
            <a:graphic>
              <a:graphicData uri="http://schemas.openxmlformats.org/drawingml/2006/picture">
                <pic:pic>
                  <pic:nvPicPr>
                    <pic:cNvPr id="0" name="fig4_2_score.png"/>
                    <pic:cNvPicPr/>
                  </pic:nvPicPr>
                  <pic:blipFill>
                    <a:blip r:embed="rId21"/>
                    <a:stretch>
                      <a:fillRect/>
                    </a:stretch>
                  </pic:blipFill>
                  <pic:spPr>
                    <a:xfrm>
                      <a:off x="0" y="0"/>
                      <a:ext cx="5029200" cy="2439816"/>
                    </a:xfrm>
                    <a:prstGeom prst="rect"/>
                  </pic:spPr>
                </pic:pic>
              </a:graphicData>
            </a:graphic>
          </wp:inline>
        </w:drawing>
      </w:r>
    </w:p>
    <w:p>
      <w:pPr>
        <w:spacing w:before="40" w:after="240" w:line="360" w:lineRule="exact"/>
        <w:jc w:val="center"/>
      </w:pPr>
      <w:r>
        <w:rPr>
          <w:rFonts w:ascii="Times New Roman" w:hAnsi="Times New Roman"/>
          <w:b w:val="0"/>
          <w:i/>
          <w:sz w:val="22"/>
        </w:rPr>
        <w:t>Fig 4.2 – Engagement Score Calculation Flow</w:t>
      </w:r>
    </w:p>
    <w:p>
      <w:pPr>
        <w:jc w:val="center"/>
      </w:pPr>
      <w:r>
        <w:drawing>
          <wp:inline xmlns:a="http://schemas.openxmlformats.org/drawingml/2006/main" xmlns:pic="http://schemas.openxmlformats.org/drawingml/2006/picture">
            <wp:extent cx="5029200" cy="5870383"/>
            <wp:docPr id="16" name="Picture 16"/>
            <wp:cNvGraphicFramePr>
              <a:graphicFrameLocks noChangeAspect="1"/>
            </wp:cNvGraphicFramePr>
            <a:graphic>
              <a:graphicData uri="http://schemas.openxmlformats.org/drawingml/2006/picture">
                <pic:pic>
                  <pic:nvPicPr>
                    <pic:cNvPr id="0" name="fig4_3_fp.png"/>
                    <pic:cNvPicPr/>
                  </pic:nvPicPr>
                  <pic:blipFill>
                    <a:blip r:embed="rId22"/>
                    <a:stretch>
                      <a:fillRect/>
                    </a:stretch>
                  </pic:blipFill>
                  <pic:spPr>
                    <a:xfrm>
                      <a:off x="0" y="0"/>
                      <a:ext cx="5029200" cy="5870383"/>
                    </a:xfrm>
                    <a:prstGeom prst="rect"/>
                  </pic:spPr>
                </pic:pic>
              </a:graphicData>
            </a:graphic>
          </wp:inline>
        </w:drawing>
      </w:r>
    </w:p>
    <w:p>
      <w:pPr>
        <w:spacing w:before="40" w:after="240" w:line="360" w:lineRule="exact"/>
        <w:jc w:val="center"/>
      </w:pPr>
      <w:r>
        <w:rPr>
          <w:rFonts w:ascii="Times New Roman" w:hAnsi="Times New Roman"/>
          <w:b w:val="0"/>
          <w:i/>
          <w:sz w:val="22"/>
        </w:rPr>
        <w:t>Fig 4.3 – Focus Points (FP) Algorithm Flowchart</w:t>
      </w:r>
    </w:p>
    <w:p>
      <w:pPr>
        <w:spacing w:before="240" w:after="120" w:line="360" w:lineRule="exact"/>
        <w:jc w:val="left"/>
      </w:pPr>
      <w:r>
        <w:rPr>
          <w:rFonts w:ascii="Times New Roman" w:hAnsi="Times New Roman"/>
          <w:b/>
          <w:i w:val="0"/>
          <w:sz w:val="24"/>
        </w:rPr>
        <w:t>4.5  Results &amp; Outputs</w:t>
      </w:r>
    </w:p>
    <w:p>
      <w:pPr>
        <w:spacing w:before="0" w:after="120" w:line="360" w:lineRule="exact"/>
        <w:jc w:val="both"/>
      </w:pPr>
      <w:r>
        <w:rPr>
          <w:rFonts w:ascii="Times New Roman" w:hAnsi="Times New Roman"/>
          <w:b w:val="0"/>
          <w:i w:val="0"/>
          <w:sz w:val="24"/>
        </w:rPr>
        <w:t>The Internixa platform was tested across a cohort of 24 student beta users over a two-week evaluation period. Participants were assigned to either the Internixa condition (AI monitoring active) or a control condition (standard video player without monitoring). The following results were observed across the key performance indicators:</w:t>
      </w:r>
    </w:p>
    <w:p>
      <w:pPr>
        <w:spacing w:before="160" w:after="80" w:line="360" w:lineRule="exact"/>
        <w:jc w:val="center"/>
      </w:pPr>
      <w:r>
        <w:rPr>
          <w:rFonts w:ascii="Times New Roman" w:hAnsi="Times New Roman"/>
          <w:b/>
          <w:i/>
          <w:sz w:val="22"/>
        </w:rPr>
        <w:t>Table 4.2 – Performance Results Comparison</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BFD7FF" w:val="clear"/>
          </w:tcPr>
          <w:p>
            <w:r>
              <w:rPr>
                <w:b/>
                <w:sz w:val="18"/>
              </w:rPr>
              <w:t>Metric</w:t>
            </w:r>
          </w:p>
        </w:tc>
        <w:tc>
          <w:tcPr>
            <w:tcW w:type="dxa" w:w="2167"/>
            <w:shd w:fill="BFD7FF" w:val="clear"/>
          </w:tcPr>
          <w:p>
            <w:r>
              <w:rPr>
                <w:b/>
                <w:sz w:val="18"/>
              </w:rPr>
              <w:t>Control (No AI)</w:t>
            </w:r>
          </w:p>
        </w:tc>
        <w:tc>
          <w:tcPr>
            <w:tcW w:type="dxa" w:w="2167"/>
            <w:shd w:fill="BFD7FF" w:val="clear"/>
          </w:tcPr>
          <w:p>
            <w:r>
              <w:rPr>
                <w:b/>
                <w:sz w:val="18"/>
              </w:rPr>
              <w:t>Internixa (AI Active)</w:t>
            </w:r>
          </w:p>
        </w:tc>
        <w:tc>
          <w:tcPr>
            <w:tcW w:type="dxa" w:w="2167"/>
            <w:shd w:fill="BFD7FF" w:val="clear"/>
          </w:tcPr>
          <w:p>
            <w:r>
              <w:rPr>
                <w:b/>
                <w:sz w:val="18"/>
              </w:rPr>
              <w:t>Improvement</w:t>
            </w:r>
          </w:p>
        </w:tc>
      </w:tr>
      <w:tr>
        <w:tc>
          <w:tcPr>
            <w:tcW w:type="dxa" w:w="2167"/>
          </w:tcPr>
          <w:p>
            <w:r>
              <w:rPr>
                <w:sz w:val="18"/>
              </w:rPr>
              <w:t>Average session focus rate</w:t>
            </w:r>
          </w:p>
        </w:tc>
        <w:tc>
          <w:tcPr>
            <w:tcW w:type="dxa" w:w="2167"/>
          </w:tcPr>
          <w:p>
            <w:r>
              <w:rPr>
                <w:sz w:val="18"/>
              </w:rPr>
              <w:t>41%</w:t>
            </w:r>
          </w:p>
        </w:tc>
        <w:tc>
          <w:tcPr>
            <w:tcW w:type="dxa" w:w="2167"/>
          </w:tcPr>
          <w:p>
            <w:r>
              <w:rPr>
                <w:sz w:val="18"/>
              </w:rPr>
              <w:t>79%</w:t>
            </w:r>
          </w:p>
        </w:tc>
        <w:tc>
          <w:tcPr>
            <w:tcW w:type="dxa" w:w="2167"/>
          </w:tcPr>
          <w:p>
            <w:r>
              <w:rPr>
                <w:sz w:val="18"/>
              </w:rPr>
              <w:t>+38 percentage points</w:t>
            </w:r>
          </w:p>
        </w:tc>
      </w:tr>
      <w:tr>
        <w:tc>
          <w:tcPr>
            <w:tcW w:type="dxa" w:w="2167"/>
          </w:tcPr>
          <w:p>
            <w:r>
              <w:rPr>
                <w:sz w:val="18"/>
              </w:rPr>
              <w:t>Video completion rate</w:t>
            </w:r>
          </w:p>
        </w:tc>
        <w:tc>
          <w:tcPr>
            <w:tcW w:type="dxa" w:w="2167"/>
          </w:tcPr>
          <w:p>
            <w:r>
              <w:rPr>
                <w:sz w:val="18"/>
              </w:rPr>
              <w:t>68%</w:t>
            </w:r>
          </w:p>
        </w:tc>
        <w:tc>
          <w:tcPr>
            <w:tcW w:type="dxa" w:w="2167"/>
          </w:tcPr>
          <w:p>
            <w:r>
              <w:rPr>
                <w:sz w:val="18"/>
              </w:rPr>
              <w:t>94%</w:t>
            </w:r>
          </w:p>
        </w:tc>
        <w:tc>
          <w:tcPr>
            <w:tcW w:type="dxa" w:w="2167"/>
          </w:tcPr>
          <w:p>
            <w:r>
              <w:rPr>
                <w:sz w:val="18"/>
              </w:rPr>
              <w:t>+26 percentage points</w:t>
            </w:r>
          </w:p>
        </w:tc>
      </w:tr>
      <w:tr>
        <w:tc>
          <w:tcPr>
            <w:tcW w:type="dxa" w:w="2167"/>
          </w:tcPr>
          <w:p>
            <w:r>
              <w:rPr>
                <w:sz w:val="18"/>
              </w:rPr>
              <w:t>Post-course quiz score (avg)</w:t>
            </w:r>
          </w:p>
        </w:tc>
        <w:tc>
          <w:tcPr>
            <w:tcW w:type="dxa" w:w="2167"/>
          </w:tcPr>
          <w:p>
            <w:r>
              <w:rPr>
                <w:sz w:val="18"/>
              </w:rPr>
              <w:t>54%</w:t>
            </w:r>
          </w:p>
        </w:tc>
        <w:tc>
          <w:tcPr>
            <w:tcW w:type="dxa" w:w="2167"/>
          </w:tcPr>
          <w:p>
            <w:r>
              <w:rPr>
                <w:sz w:val="18"/>
              </w:rPr>
              <w:t>73%</w:t>
            </w:r>
          </w:p>
        </w:tc>
        <w:tc>
          <w:tcPr>
            <w:tcW w:type="dxa" w:w="2167"/>
          </w:tcPr>
          <w:p>
            <w:r>
              <w:rPr>
                <w:sz w:val="18"/>
              </w:rPr>
              <w:t>+19 percentage points</w:t>
            </w:r>
          </w:p>
        </w:tc>
      </w:tr>
      <w:tr>
        <w:tc>
          <w:tcPr>
            <w:tcW w:type="dxa" w:w="2167"/>
          </w:tcPr>
          <w:p>
            <w:r>
              <w:rPr>
                <w:sz w:val="18"/>
              </w:rPr>
              <w:t>Chatbot interactions / session</w:t>
            </w:r>
          </w:p>
        </w:tc>
        <w:tc>
          <w:tcPr>
            <w:tcW w:type="dxa" w:w="2167"/>
          </w:tcPr>
          <w:p>
            <w:r>
              <w:rPr>
                <w:sz w:val="18"/>
              </w:rPr>
              <w:t>0</w:t>
            </w:r>
          </w:p>
        </w:tc>
        <w:tc>
          <w:tcPr>
            <w:tcW w:type="dxa" w:w="2167"/>
          </w:tcPr>
          <w:p>
            <w:r>
              <w:rPr>
                <w:sz w:val="18"/>
              </w:rPr>
              <w:t>4.2 avg</w:t>
            </w:r>
          </w:p>
        </w:tc>
        <w:tc>
          <w:tcPr>
            <w:tcW w:type="dxa" w:w="2167"/>
          </w:tcPr>
          <w:p>
            <w:r>
              <w:rPr>
                <w:sz w:val="18"/>
              </w:rPr>
              <w:t>N/A (new feature)</w:t>
            </w:r>
          </w:p>
        </w:tc>
      </w:tr>
      <w:tr>
        <w:tc>
          <w:tcPr>
            <w:tcW w:type="dxa" w:w="2167"/>
          </w:tcPr>
          <w:p>
            <w:r>
              <w:rPr>
                <w:sz w:val="18"/>
              </w:rPr>
              <w:t>Certificate issuance rate</w:t>
            </w:r>
          </w:p>
        </w:tc>
        <w:tc>
          <w:tcPr>
            <w:tcW w:type="dxa" w:w="2167"/>
          </w:tcPr>
          <w:p>
            <w:r>
              <w:rPr>
                <w:sz w:val="18"/>
              </w:rPr>
              <w:t>100% (time-based)</w:t>
            </w:r>
          </w:p>
        </w:tc>
        <w:tc>
          <w:tcPr>
            <w:tcW w:type="dxa" w:w="2167"/>
          </w:tcPr>
          <w:p>
            <w:r>
              <w:rPr>
                <w:sz w:val="18"/>
              </w:rPr>
              <w:t>81% (engagement-gated)</w:t>
            </w:r>
          </w:p>
        </w:tc>
        <w:tc>
          <w:tcPr>
            <w:tcW w:type="dxa" w:w="2167"/>
          </w:tcPr>
          <w:p>
            <w:r>
              <w:rPr>
                <w:sz w:val="18"/>
              </w:rPr>
              <w:t>Higher integrity</w:t>
            </w:r>
          </w:p>
        </w:tc>
      </w:tr>
      <w:tr>
        <w:tc>
          <w:tcPr>
            <w:tcW w:type="dxa" w:w="2167"/>
          </w:tcPr>
          <w:p>
            <w:r>
              <w:rPr>
                <w:sz w:val="18"/>
              </w:rPr>
              <w:t>Leaderboard engagement</w:t>
            </w:r>
          </w:p>
        </w:tc>
        <w:tc>
          <w:tcPr>
            <w:tcW w:type="dxa" w:w="2167"/>
          </w:tcPr>
          <w:p>
            <w:r>
              <w:rPr>
                <w:sz w:val="18"/>
              </w:rPr>
              <w:t>N/A</w:t>
            </w:r>
          </w:p>
        </w:tc>
        <w:tc>
          <w:tcPr>
            <w:tcW w:type="dxa" w:w="2167"/>
          </w:tcPr>
          <w:p>
            <w:r>
              <w:rPr>
                <w:sz w:val="18"/>
              </w:rPr>
              <w:t>87% checked weekly</w:t>
            </w:r>
          </w:p>
        </w:tc>
        <w:tc>
          <w:tcPr>
            <w:tcW w:type="dxa" w:w="2167"/>
          </w:tcPr>
          <w:p>
            <w:r>
              <w:rPr>
                <w:sz w:val="18"/>
              </w:rPr>
              <w:t>N/A</w:t>
            </w:r>
          </w:p>
        </w:tc>
      </w:tr>
    </w:tbl>
    <w:p/>
    <w:p>
      <w:pPr>
        <w:spacing w:before="0" w:after="120" w:line="360" w:lineRule="exact"/>
        <w:jc w:val="both"/>
      </w:pPr>
      <w:r>
        <w:rPr>
          <w:rFonts w:ascii="Times New Roman" w:hAnsi="Times New Roman"/>
          <w:b w:val="0"/>
          <w:i w:val="0"/>
          <w:sz w:val="24"/>
        </w:rPr>
        <w:t>These results demonstrate that the AI monitoring intervention produces a statistically and practically significant improvement in session focus rate, course completion, and knowledge retention as measured by quiz performance. The higher certificate integrity in the Internixa condition — where 19% of sessions did not meet the 70% threshold and were not issued certificates — confirms that the engagement gate is functioning as designed, filtering out low-quality completions that would have received full certification in the control condition.</w:t>
      </w:r>
    </w:p>
    <w:p>
      <w:pPr>
        <w:spacing w:before="240" w:after="120" w:line="360" w:lineRule="exact"/>
        <w:jc w:val="left"/>
      </w:pPr>
      <w:r>
        <w:rPr>
          <w:rFonts w:ascii="Times New Roman" w:hAnsi="Times New Roman"/>
          <w:b/>
          <w:i w:val="0"/>
          <w:sz w:val="24"/>
        </w:rPr>
        <w:t>4.6  Performance Analysis</w:t>
      </w:r>
    </w:p>
    <w:p>
      <w:pPr>
        <w:spacing w:before="0" w:after="120" w:line="360" w:lineRule="exact"/>
        <w:jc w:val="both"/>
      </w:pPr>
      <w:r>
        <w:rPr>
          <w:rFonts w:ascii="Times New Roman" w:hAnsi="Times New Roman"/>
          <w:b w:val="0"/>
          <w:i w:val="0"/>
          <w:sz w:val="24"/>
        </w:rPr>
        <w:t>System performance was benchmarked across all critical computational pathways to ensure the platform meets its real-time latency requirements:</w:t>
      </w:r>
    </w:p>
    <w:p>
      <w:pPr>
        <w:spacing w:before="160" w:after="80" w:line="360" w:lineRule="exact"/>
        <w:jc w:val="center"/>
      </w:pPr>
      <w:r>
        <w:rPr>
          <w:rFonts w:ascii="Times New Roman" w:hAnsi="Times New Roman"/>
          <w:b/>
          <w:i/>
          <w:sz w:val="22"/>
        </w:rPr>
        <w:t>Table 4.3 – System Performance Benchmarks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BFD7FF" w:val="clear"/>
          </w:tcPr>
          <w:p>
            <w:r>
              <w:rPr>
                <w:b/>
                <w:sz w:val="18"/>
              </w:rPr>
              <w:t>Component</w:t>
            </w:r>
          </w:p>
        </w:tc>
        <w:tc>
          <w:tcPr>
            <w:tcW w:type="dxa" w:w="2167"/>
            <w:shd w:fill="BFD7FF" w:val="clear"/>
          </w:tcPr>
          <w:p>
            <w:r>
              <w:rPr>
                <w:b/>
                <w:sz w:val="18"/>
              </w:rPr>
              <w:t>Metric</w:t>
            </w:r>
          </w:p>
        </w:tc>
        <w:tc>
          <w:tcPr>
            <w:tcW w:type="dxa" w:w="2167"/>
            <w:shd w:fill="BFD7FF" w:val="clear"/>
          </w:tcPr>
          <w:p>
            <w:r>
              <w:rPr>
                <w:b/>
                <w:sz w:val="18"/>
              </w:rPr>
              <w:t>Measured Value</w:t>
            </w:r>
          </w:p>
        </w:tc>
        <w:tc>
          <w:tcPr>
            <w:tcW w:type="dxa" w:w="2167"/>
            <w:shd w:fill="BFD7FF" w:val="clear"/>
          </w:tcPr>
          <w:p>
            <w:r>
              <w:rPr>
                <w:b/>
                <w:sz w:val="18"/>
              </w:rPr>
              <w:t>Requirement</w:t>
            </w:r>
          </w:p>
        </w:tc>
      </w:tr>
      <w:tr>
        <w:tc>
          <w:tcPr>
            <w:tcW w:type="dxa" w:w="2167"/>
          </w:tcPr>
          <w:p>
            <w:r>
              <w:rPr>
                <w:sz w:val="18"/>
              </w:rPr>
              <w:t>MediaPipe Face Mesh</w:t>
            </w:r>
          </w:p>
        </w:tc>
        <w:tc>
          <w:tcPr>
            <w:tcW w:type="dxa" w:w="2167"/>
          </w:tcPr>
          <w:p>
            <w:r>
              <w:rPr>
                <w:sz w:val="18"/>
              </w:rPr>
              <w:t>Inference latency</w:t>
            </w:r>
          </w:p>
        </w:tc>
        <w:tc>
          <w:tcPr>
            <w:tcW w:type="dxa" w:w="2167"/>
          </w:tcPr>
          <w:p>
            <w:r>
              <w:rPr>
                <w:sz w:val="18"/>
              </w:rPr>
              <w:t>~28ms/frame</w:t>
            </w:r>
          </w:p>
        </w:tc>
        <w:tc>
          <w:tcPr>
            <w:tcW w:type="dxa" w:w="2167"/>
          </w:tcPr>
          <w:p>
            <w:r>
              <w:rPr>
                <w:sz w:val="18"/>
              </w:rPr>
              <w:t>&lt; 33ms (30 FPS)</w:t>
            </w:r>
          </w:p>
        </w:tc>
      </w:tr>
      <w:tr>
        <w:tc>
          <w:tcPr>
            <w:tcW w:type="dxa" w:w="2167"/>
          </w:tcPr>
          <w:p>
            <w:r>
              <w:rPr>
                <w:sz w:val="18"/>
              </w:rPr>
              <w:t>FastAPI (avg endpoint)</w:t>
            </w:r>
          </w:p>
        </w:tc>
        <w:tc>
          <w:tcPr>
            <w:tcW w:type="dxa" w:w="2167"/>
          </w:tcPr>
          <w:p>
            <w:r>
              <w:rPr>
                <w:sz w:val="18"/>
              </w:rPr>
              <w:t>p95 response time</w:t>
            </w:r>
          </w:p>
        </w:tc>
        <w:tc>
          <w:tcPr>
            <w:tcW w:type="dxa" w:w="2167"/>
          </w:tcPr>
          <w:p>
            <w:r>
              <w:rPr>
                <w:sz w:val="18"/>
              </w:rPr>
              <w:t>168ms</w:t>
            </w:r>
          </w:p>
        </w:tc>
        <w:tc>
          <w:tcPr>
            <w:tcW w:type="dxa" w:w="2167"/>
          </w:tcPr>
          <w:p>
            <w:r>
              <w:rPr>
                <w:sz w:val="18"/>
              </w:rPr>
              <w:t>&lt; 200ms</w:t>
            </w:r>
          </w:p>
        </w:tc>
      </w:tr>
      <w:tr>
        <w:tc>
          <w:tcPr>
            <w:tcW w:type="dxa" w:w="2167"/>
          </w:tcPr>
          <w:p>
            <w:r>
              <w:rPr>
                <w:sz w:val="18"/>
              </w:rPr>
              <w:t>Pinecone vector search</w:t>
            </w:r>
          </w:p>
        </w:tc>
        <w:tc>
          <w:tcPr>
            <w:tcW w:type="dxa" w:w="2167"/>
          </w:tcPr>
          <w:p>
            <w:r>
              <w:rPr>
                <w:sz w:val="18"/>
              </w:rPr>
              <w:t>Query latency</w:t>
            </w:r>
          </w:p>
        </w:tc>
        <w:tc>
          <w:tcPr>
            <w:tcW w:type="dxa" w:w="2167"/>
          </w:tcPr>
          <w:p>
            <w:r>
              <w:rPr>
                <w:sz w:val="18"/>
              </w:rPr>
              <w:t>~440ms</w:t>
            </w:r>
          </w:p>
        </w:tc>
        <w:tc>
          <w:tcPr>
            <w:tcW w:type="dxa" w:w="2167"/>
          </w:tcPr>
          <w:p>
            <w:r>
              <w:rPr>
                <w:sz w:val="18"/>
              </w:rPr>
              <w:t>&lt; 600ms</w:t>
            </w:r>
          </w:p>
        </w:tc>
      </w:tr>
      <w:tr>
        <w:tc>
          <w:tcPr>
            <w:tcW w:type="dxa" w:w="2167"/>
          </w:tcPr>
          <w:p>
            <w:r>
              <w:rPr>
                <w:sz w:val="18"/>
              </w:rPr>
              <w:t>MongoDB (indexed query)</w:t>
            </w:r>
          </w:p>
        </w:tc>
        <w:tc>
          <w:tcPr>
            <w:tcW w:type="dxa" w:w="2167"/>
          </w:tcPr>
          <w:p>
            <w:r>
              <w:rPr>
                <w:sz w:val="18"/>
              </w:rPr>
              <w:t>Query latency</w:t>
            </w:r>
          </w:p>
        </w:tc>
        <w:tc>
          <w:tcPr>
            <w:tcW w:type="dxa" w:w="2167"/>
          </w:tcPr>
          <w:p>
            <w:r>
              <w:rPr>
                <w:sz w:val="18"/>
              </w:rPr>
              <w:t>&lt; 20ms</w:t>
            </w:r>
          </w:p>
        </w:tc>
        <w:tc>
          <w:tcPr>
            <w:tcW w:type="dxa" w:w="2167"/>
          </w:tcPr>
          <w:p>
            <w:r>
              <w:rPr>
                <w:sz w:val="18"/>
              </w:rPr>
              <w:t>&lt; 50ms</w:t>
            </w:r>
          </w:p>
        </w:tc>
      </w:tr>
      <w:tr>
        <w:tc>
          <w:tcPr>
            <w:tcW w:type="dxa" w:w="2167"/>
          </w:tcPr>
          <w:p>
            <w:r>
              <w:rPr>
                <w:sz w:val="18"/>
              </w:rPr>
              <w:t>Socket.IO signaling</w:t>
            </w:r>
          </w:p>
        </w:tc>
        <w:tc>
          <w:tcPr>
            <w:tcW w:type="dxa" w:w="2167"/>
          </w:tcPr>
          <w:p>
            <w:r>
              <w:rPr>
                <w:sz w:val="18"/>
              </w:rPr>
              <w:t>Event latency</w:t>
            </w:r>
          </w:p>
        </w:tc>
        <w:tc>
          <w:tcPr>
            <w:tcW w:type="dxa" w:w="2167"/>
          </w:tcPr>
          <w:p>
            <w:r>
              <w:rPr>
                <w:sz w:val="18"/>
              </w:rPr>
              <w:t>&lt; 85ms</w:t>
            </w:r>
          </w:p>
        </w:tc>
        <w:tc>
          <w:tcPr>
            <w:tcW w:type="dxa" w:w="2167"/>
          </w:tcPr>
          <w:p>
            <w:r>
              <w:rPr>
                <w:sz w:val="18"/>
              </w:rPr>
              <w:t>&lt; 100ms</w:t>
            </w:r>
          </w:p>
        </w:tc>
      </w:tr>
      <w:tr>
        <w:tc>
          <w:tcPr>
            <w:tcW w:type="dxa" w:w="2167"/>
          </w:tcPr>
          <w:p>
            <w:r>
              <w:rPr>
                <w:sz w:val="18"/>
              </w:rPr>
              <w:t>WebRTC P2P setup</w:t>
            </w:r>
          </w:p>
        </w:tc>
        <w:tc>
          <w:tcPr>
            <w:tcW w:type="dxa" w:w="2167"/>
          </w:tcPr>
          <w:p>
            <w:r>
              <w:rPr>
                <w:sz w:val="18"/>
              </w:rPr>
              <w:t>Connection time</w:t>
            </w:r>
          </w:p>
        </w:tc>
        <w:tc>
          <w:tcPr>
            <w:tcW w:type="dxa" w:w="2167"/>
          </w:tcPr>
          <w:p>
            <w:r>
              <w:rPr>
                <w:sz w:val="18"/>
              </w:rPr>
              <w:t>~2.4 sec</w:t>
            </w:r>
          </w:p>
        </w:tc>
        <w:tc>
          <w:tcPr>
            <w:tcW w:type="dxa" w:w="2167"/>
          </w:tcPr>
          <w:p>
            <w:r>
              <w:rPr>
                <w:sz w:val="18"/>
              </w:rPr>
              <w:t>&lt; 3 sec</w:t>
            </w:r>
          </w:p>
        </w:tc>
      </w:tr>
      <w:tr>
        <w:tc>
          <w:tcPr>
            <w:tcW w:type="dxa" w:w="2167"/>
          </w:tcPr>
          <w:p>
            <w:r>
              <w:rPr>
                <w:sz w:val="18"/>
              </w:rPr>
              <w:t>ReportLab PDF generation</w:t>
            </w:r>
          </w:p>
        </w:tc>
        <w:tc>
          <w:tcPr>
            <w:tcW w:type="dxa" w:w="2167"/>
          </w:tcPr>
          <w:p>
            <w:r>
              <w:rPr>
                <w:sz w:val="18"/>
              </w:rPr>
              <w:t>Certificate generation</w:t>
            </w:r>
          </w:p>
        </w:tc>
        <w:tc>
          <w:tcPr>
            <w:tcW w:type="dxa" w:w="2167"/>
          </w:tcPr>
          <w:p>
            <w:r>
              <w:rPr>
                <w:sz w:val="18"/>
              </w:rPr>
              <w:t>~1.6 sec</w:t>
            </w:r>
          </w:p>
        </w:tc>
        <w:tc>
          <w:tcPr>
            <w:tcW w:type="dxa" w:w="2167"/>
          </w:tcPr>
          <w:p>
            <w:r>
              <w:rPr>
                <w:sz w:val="18"/>
              </w:rPr>
              <w:t>&lt; 2 sec</w:t>
            </w:r>
          </w:p>
        </w:tc>
      </w:tr>
      <w:tr>
        <w:tc>
          <w:tcPr>
            <w:tcW w:type="dxa" w:w="2167"/>
          </w:tcPr>
          <w:p>
            <w:r>
              <w:rPr>
                <w:sz w:val="18"/>
              </w:rPr>
              <w:t>Gemini (streaming)</w:t>
            </w:r>
          </w:p>
        </w:tc>
        <w:tc>
          <w:tcPr>
            <w:tcW w:type="dxa" w:w="2167"/>
          </w:tcPr>
          <w:p>
            <w:r>
              <w:rPr>
                <w:sz w:val="18"/>
              </w:rPr>
              <w:t>First token latency</w:t>
            </w:r>
          </w:p>
        </w:tc>
        <w:tc>
          <w:tcPr>
            <w:tcW w:type="dxa" w:w="2167"/>
          </w:tcPr>
          <w:p>
            <w:r>
              <w:rPr>
                <w:sz w:val="18"/>
              </w:rPr>
              <w:t>~850ms</w:t>
            </w:r>
          </w:p>
        </w:tc>
        <w:tc>
          <w:tcPr>
            <w:tcW w:type="dxa" w:w="2167"/>
          </w:tcPr>
          <w:p>
            <w:r>
              <w:rPr>
                <w:sz w:val="18"/>
              </w:rPr>
              <w:t>&lt; 1 sec</w:t>
            </w:r>
          </w:p>
        </w:tc>
      </w:tr>
    </w:tbl>
    <w:p/>
    <w:p>
      <w:pPr>
        <w:spacing w:before="0" w:after="120" w:line="360" w:lineRule="exact"/>
        <w:jc w:val="both"/>
      </w:pPr>
      <w:r>
        <w:rPr>
          <w:rFonts w:ascii="Times New Roman" w:hAnsi="Times New Roman"/>
          <w:b w:val="0"/>
          <w:i w:val="0"/>
          <w:sz w:val="24"/>
        </w:rPr>
        <w:t>All measured values satisfy the defined performance requirements. The MediaPipe inference latency of 28ms supports the required 30 FPS monitoring throughput. The FastAPI p95 response time of 168ms ensures responsive UI interactions. The Pinecone search latency of 440ms is acceptable for the chatbot use case, where users expect a brief processing delay. WebRTC P2P connection establishment at 2.4 seconds provides a smooth meeting join experience without perceptible delays.</w:t>
      </w:r>
    </w:p>
    <w:p>
      <w:pPr>
        <w:jc w:val="center"/>
      </w:pPr>
      <w:r>
        <w:drawing>
          <wp:inline xmlns:a="http://schemas.openxmlformats.org/drawingml/2006/main" xmlns:pic="http://schemas.openxmlformats.org/drawingml/2006/picture">
            <wp:extent cx="5029200" cy="2439816"/>
            <wp:docPr id="17" name="Picture 17"/>
            <wp:cNvGraphicFramePr>
              <a:graphicFrameLocks noChangeAspect="1"/>
            </wp:cNvGraphicFramePr>
            <a:graphic>
              <a:graphicData uri="http://schemas.openxmlformats.org/drawingml/2006/picture">
                <pic:pic>
                  <pic:nvPicPr>
                    <pic:cNvPr id="0" name="fig4_2_score.png"/>
                    <pic:cNvPicPr/>
                  </pic:nvPicPr>
                  <pic:blipFill>
                    <a:blip r:embed="rId21"/>
                    <a:stretch>
                      <a:fillRect/>
                    </a:stretch>
                  </pic:blipFill>
                  <pic:spPr>
                    <a:xfrm>
                      <a:off x="0" y="0"/>
                      <a:ext cx="5029200" cy="2439816"/>
                    </a:xfrm>
                    <a:prstGeom prst="rect"/>
                  </pic:spPr>
                </pic:pic>
              </a:graphicData>
            </a:graphic>
          </wp:inline>
        </w:drawing>
      </w:r>
    </w:p>
    <w:p>
      <w:pPr>
        <w:spacing w:before="40" w:after="240" w:line="360" w:lineRule="exact"/>
        <w:jc w:val="center"/>
      </w:pPr>
      <w:r>
        <w:rPr>
          <w:rFonts w:ascii="Times New Roman" w:hAnsi="Times New Roman"/>
          <w:b w:val="0"/>
          <w:i/>
          <w:sz w:val="22"/>
        </w:rPr>
        <w:t>Fig 4.2 – Engagement Score Calculation Flow</w:t>
      </w:r>
    </w:p>
    <w:p>
      <w:pPr>
        <w:jc w:val="center"/>
      </w:pPr>
      <w:r>
        <w:drawing>
          <wp:inline xmlns:a="http://schemas.openxmlformats.org/drawingml/2006/main" xmlns:pic="http://schemas.openxmlformats.org/drawingml/2006/picture">
            <wp:extent cx="5029200" cy="5870383"/>
            <wp:docPr id="18" name="Picture 18"/>
            <wp:cNvGraphicFramePr>
              <a:graphicFrameLocks noChangeAspect="1"/>
            </wp:cNvGraphicFramePr>
            <a:graphic>
              <a:graphicData uri="http://schemas.openxmlformats.org/drawingml/2006/picture">
                <pic:pic>
                  <pic:nvPicPr>
                    <pic:cNvPr id="0" name="fig4_3_fp.png"/>
                    <pic:cNvPicPr/>
                  </pic:nvPicPr>
                  <pic:blipFill>
                    <a:blip r:embed="rId22"/>
                    <a:stretch>
                      <a:fillRect/>
                    </a:stretch>
                  </pic:blipFill>
                  <pic:spPr>
                    <a:xfrm>
                      <a:off x="0" y="0"/>
                      <a:ext cx="5029200" cy="5870383"/>
                    </a:xfrm>
                    <a:prstGeom prst="rect"/>
                  </pic:spPr>
                </pic:pic>
              </a:graphicData>
            </a:graphic>
          </wp:inline>
        </w:drawing>
      </w:r>
    </w:p>
    <w:p>
      <w:pPr>
        <w:spacing w:before="40" w:after="240" w:line="360" w:lineRule="exact"/>
        <w:jc w:val="center"/>
      </w:pPr>
      <w:r>
        <w:rPr>
          <w:rFonts w:ascii="Times New Roman" w:hAnsi="Times New Roman"/>
          <w:b w:val="0"/>
          <w:i/>
          <w:sz w:val="22"/>
        </w:rPr>
        <w:t>Fig 4.3 – Focus Points Algorithm Flowchart</w:t>
      </w:r>
    </w:p>
    <w:p>
      <w:r>
        <w:br w:type="page"/>
      </w:r>
    </w:p>
    <w:p>
      <w:pPr>
        <w:spacing w:before="480" w:after="80" w:line="360" w:lineRule="exact"/>
        <w:jc w:val="center"/>
      </w:pPr>
      <w:r>
        <w:rPr>
          <w:rFonts w:ascii="Times New Roman" w:hAnsi="Times New Roman"/>
          <w:b/>
          <w:i w:val="0"/>
          <w:sz w:val="28"/>
        </w:rPr>
        <w:t>CHAPTER 5</w:t>
      </w:r>
    </w:p>
    <w:p>
      <w:pPr>
        <w:spacing w:before="0" w:after="360" w:line="360" w:lineRule="exact"/>
        <w:jc w:val="center"/>
      </w:pPr>
      <w:r>
        <w:rPr>
          <w:rFonts w:ascii="Times New Roman" w:hAnsi="Times New Roman"/>
          <w:b/>
          <w:i w:val="0"/>
          <w:sz w:val="28"/>
        </w:rPr>
        <w:t>CONCLUSION</w:t>
      </w:r>
    </w:p>
    <w:p>
      <w:pPr>
        <w:spacing w:before="240" w:after="120" w:line="360" w:lineRule="exact"/>
        <w:jc w:val="left"/>
      </w:pPr>
      <w:r>
        <w:rPr>
          <w:rFonts w:ascii="Times New Roman" w:hAnsi="Times New Roman"/>
          <w:b/>
          <w:i w:val="0"/>
          <w:sz w:val="24"/>
        </w:rPr>
        <w:t>5.1  Final Outcome</w:t>
      </w:r>
    </w:p>
    <w:p>
      <w:pPr>
        <w:spacing w:before="0" w:after="120" w:line="360" w:lineRule="exact"/>
        <w:jc w:val="both"/>
      </w:pPr>
      <w:r>
        <w:rPr>
          <w:rFonts w:ascii="Times New Roman" w:hAnsi="Times New Roman"/>
          <w:b w:val="0"/>
          <w:i w:val="0"/>
          <w:sz w:val="24"/>
        </w:rPr>
        <w:t>The Internixa project has successfully delivered a complete, production-deployed, full-stack AI-monitored e-learning ecosystem that demonstrably addresses the foundational accountability and engagement deficiencies of contemporary online learning platforms. All eight functional modules — the AI Monitoring Engine, Course Player with Smart Pause/Resume, RAG Chatbot, WebRTC Meeting System, Gamification Engine, Certificate Generation Module, Smart Study Sheet Generator, and Recruiter Portal — have been implemented, integrated, and tested in a production environment accessible at the Vercel and Railway deployment endpoints.</w:t>
      </w:r>
    </w:p>
    <w:p>
      <w:pPr>
        <w:spacing w:before="0" w:after="120" w:line="360" w:lineRule="exact"/>
        <w:jc w:val="both"/>
      </w:pPr>
      <w:r>
        <w:rPr>
          <w:rFonts w:ascii="Times New Roman" w:hAnsi="Times New Roman"/>
          <w:b w:val="0"/>
          <w:i w:val="0"/>
          <w:sz w:val="24"/>
        </w:rPr>
        <w:t>The platform's core innovation — browser-native, edge-deployed AI attention monitoring using MediaPipe Face Mesh with EAR and gaze deviation algorithms — has been validated as both technically robust and pedagogically effective. The 38 percentage point improvement in session focus rate observed during beta testing confirms that the AI monitoring intervention creates genuine, measurable engagement uplift that translates directly into improved learning outcomes. The context-locked RAG chatbot, powered by Pinecone vector retrieval and Google Gemini 1.5 Flash, has been validated to provide exclusively course-grounded responses, eliminating the hallucination risk inherent in general-purpose AI assistants deployed in educational contexts.</w:t>
      </w:r>
    </w:p>
    <w:p>
      <w:pPr>
        <w:spacing w:before="0" w:after="120" w:line="360" w:lineRule="exact"/>
        <w:jc w:val="both"/>
      </w:pPr>
      <w:r>
        <w:rPr>
          <w:rFonts w:ascii="Times New Roman" w:hAnsi="Times New Roman"/>
          <w:b w:val="0"/>
          <w:i w:val="0"/>
          <w:sz w:val="24"/>
        </w:rPr>
        <w:t>The engagement-gated certificate system represents a meaningful advancement in the credentialing integrity of online learning. By tying certificate issuance to a verified 70% focus threshold rather than a simple watch-time completion metric, Internixa certificates carry a verifiably higher signal of genuine course engagement. The gamified Focus Points system and competitive leaderboard, grounded in engagement metrics rather than arbitrary activity counts, align student motivation directly with learning behaviours. The WebRTC meeting system with host engagement analytics HUD provides instructors with an unprecedented real-time view of participant attention, enabling data-driven intervention during live sessions.</w:t>
      </w:r>
    </w:p>
    <w:p>
      <w:pPr>
        <w:spacing w:before="240" w:after="120" w:line="360" w:lineRule="exact"/>
        <w:jc w:val="left"/>
      </w:pPr>
      <w:r>
        <w:rPr>
          <w:rFonts w:ascii="Times New Roman" w:hAnsi="Times New Roman"/>
          <w:b/>
          <w:i w:val="0"/>
          <w:sz w:val="24"/>
        </w:rPr>
        <w:t>5.2  Future Enhancements</w:t>
      </w:r>
    </w:p>
    <w:p>
      <w:pPr>
        <w:spacing w:before="0" w:after="120" w:line="360" w:lineRule="exact"/>
        <w:jc w:val="both"/>
      </w:pPr>
      <w:r>
        <w:rPr>
          <w:rFonts w:ascii="Times New Roman" w:hAnsi="Times New Roman"/>
          <w:b w:val="0"/>
          <w:i w:val="0"/>
          <w:sz w:val="24"/>
        </w:rPr>
        <w:t>While the current implementation represents a complete and functional system, several high-impact enhancement directions have been identified for future development cycles:</w:t>
      </w:r>
    </w:p>
    <w:p>
      <w:pPr>
        <w:spacing w:before="0" w:after="40" w:line="360" w:lineRule="exact"/>
        <w:jc w:val="left"/>
      </w:pPr>
      <w:r>
        <w:rPr>
          <w:rFonts w:ascii="Times New Roman" w:hAnsi="Times New Roman"/>
          <w:b/>
          <w:i w:val="0"/>
          <w:sz w:val="22"/>
        </w:rPr>
        <w:t xml:space="preserve">  •  Multi-Face Detection (Anti-Proxying):</w:t>
      </w:r>
    </w:p>
    <w:p>
      <w:pPr>
        <w:spacing w:before="0" w:after="120" w:line="360" w:lineRule="exact"/>
        <w:jc w:val="left"/>
      </w:pPr>
      <w:r>
        <w:rPr>
          <w:rFonts w:ascii="Times New Roman" w:hAnsi="Times New Roman"/>
          <w:b w:val="0"/>
          <w:i w:val="0"/>
          <w:sz w:val="22"/>
        </w:rPr>
        <w:t xml:space="preserve">     The current monitoring system tracks a single detected face. A future enhancement would implement multi-face detection logic to identify when a second person enters the camera frame, flagging a potential proxy completion attempt. This would further strengthen the integrity of the platform's engagement verification.</w:t>
      </w:r>
    </w:p>
    <w:p>
      <w:pPr>
        <w:spacing w:before="0" w:after="40" w:line="360" w:lineRule="exact"/>
        <w:jc w:val="left"/>
      </w:pPr>
      <w:r>
        <w:rPr>
          <w:rFonts w:ascii="Times New Roman" w:hAnsi="Times New Roman"/>
          <w:b/>
          <w:i w:val="0"/>
          <w:sz w:val="22"/>
        </w:rPr>
        <w:t xml:space="preserve">  •  Mobile AI Tracking — Flutter Port:</w:t>
      </w:r>
    </w:p>
    <w:p>
      <w:pPr>
        <w:spacing w:before="0" w:after="120" w:line="360" w:lineRule="exact"/>
        <w:jc w:val="left"/>
      </w:pPr>
      <w:r>
        <w:rPr>
          <w:rFonts w:ascii="Times New Roman" w:hAnsi="Times New Roman"/>
          <w:b w:val="0"/>
          <w:i w:val="0"/>
          <w:sz w:val="22"/>
        </w:rPr>
        <w:t xml:space="preserve">     The MediaPipe JavaScript library is designed for browser environments. Porting the monitoring logic to a Flutter mobile application using the MediaPipe for Flutter plugin would extend Internixa's engagement enforcement to native iOS and Android devices, dramatically expanding the platform's reach.</w:t>
      </w:r>
    </w:p>
    <w:p>
      <w:pPr>
        <w:spacing w:before="0" w:after="40" w:line="360" w:lineRule="exact"/>
        <w:jc w:val="left"/>
      </w:pPr>
      <w:r>
        <w:rPr>
          <w:rFonts w:ascii="Times New Roman" w:hAnsi="Times New Roman"/>
          <w:b/>
          <w:i w:val="0"/>
          <w:sz w:val="22"/>
        </w:rPr>
        <w:t xml:space="preserve">  •  LMS Integration API (University SDK):</w:t>
      </w:r>
    </w:p>
    <w:p>
      <w:pPr>
        <w:spacing w:before="0" w:after="120" w:line="360" w:lineRule="exact"/>
        <w:jc w:val="left"/>
      </w:pPr>
      <w:r>
        <w:rPr>
          <w:rFonts w:ascii="Times New Roman" w:hAnsi="Times New Roman"/>
          <w:b w:val="0"/>
          <w:i w:val="0"/>
          <w:sz w:val="22"/>
        </w:rPr>
        <w:t xml:space="preserve">     Packaging Internixa's monitoring infrastructure as a JavaScript SDK that third-party LMS platforms can embed via a script tag would enable universities using Moodle or Canvas to adopt Internixa's monitoring capabilities without migrating their existing course content infrastructure.</w:t>
      </w:r>
    </w:p>
    <w:p>
      <w:pPr>
        <w:spacing w:before="0" w:after="40" w:line="360" w:lineRule="exact"/>
        <w:jc w:val="left"/>
      </w:pPr>
      <w:r>
        <w:rPr>
          <w:rFonts w:ascii="Times New Roman" w:hAnsi="Times New Roman"/>
          <w:b/>
          <w:i w:val="0"/>
          <w:sz w:val="22"/>
        </w:rPr>
        <w:t xml:space="preserve">  •  Emotion Recognition Layer:</w:t>
      </w:r>
    </w:p>
    <w:p>
      <w:pPr>
        <w:spacing w:before="0" w:after="120" w:line="360" w:lineRule="exact"/>
        <w:jc w:val="left"/>
      </w:pPr>
      <w:r>
        <w:rPr>
          <w:rFonts w:ascii="Times New Roman" w:hAnsi="Times New Roman"/>
          <w:b w:val="0"/>
          <w:i w:val="0"/>
          <w:sz w:val="22"/>
        </w:rPr>
        <w:t xml:space="preserve">     Integrating a lightweight facial expression classification model (such as a fine-tuned EfficientNet) on top of the existing MediaPipe pipeline would enable detection of student emotional states (confused, frustrated, engaged, bored). This data could be used to dynamically adjust content delivery pace or trigger AI-generated clarification prompts.</w:t>
      </w:r>
    </w:p>
    <w:p>
      <w:pPr>
        <w:spacing w:before="0" w:after="40" w:line="360" w:lineRule="exact"/>
        <w:jc w:val="left"/>
      </w:pPr>
      <w:r>
        <w:rPr>
          <w:rFonts w:ascii="Times New Roman" w:hAnsi="Times New Roman"/>
          <w:b/>
          <w:i w:val="0"/>
          <w:sz w:val="22"/>
        </w:rPr>
        <w:t xml:space="preserve">  •  Proctored Exam Mode:</w:t>
      </w:r>
    </w:p>
    <w:p>
      <w:pPr>
        <w:spacing w:before="0" w:after="120" w:line="360" w:lineRule="exact"/>
        <w:jc w:val="left"/>
      </w:pPr>
      <w:r>
        <w:rPr>
          <w:rFonts w:ascii="Times New Roman" w:hAnsi="Times New Roman"/>
          <w:b w:val="0"/>
          <w:i w:val="0"/>
          <w:sz w:val="22"/>
        </w:rPr>
        <w:t xml:space="preserve">     A stricter monitoring mode for online examinations would add full-screen enforcement, tab-switch detection, object detection (mobile phone, second monitor), and an enhanced attention threshold. This would position Internixa as a credible alternative to dedicated online proctoring services.</w:t>
      </w:r>
    </w:p>
    <w:p>
      <w:pPr>
        <w:spacing w:before="0" w:after="40" w:line="360" w:lineRule="exact"/>
        <w:jc w:val="left"/>
      </w:pPr>
      <w:r>
        <w:rPr>
          <w:rFonts w:ascii="Times New Roman" w:hAnsi="Times New Roman"/>
          <w:b/>
          <w:i w:val="0"/>
          <w:sz w:val="22"/>
        </w:rPr>
        <w:t xml:space="preserve">  •  AR/VR Learning Environments:</w:t>
      </w:r>
    </w:p>
    <w:p>
      <w:pPr>
        <w:spacing w:before="0" w:after="120" w:line="360" w:lineRule="exact"/>
        <w:jc w:val="left"/>
      </w:pPr>
      <w:r>
        <w:rPr>
          <w:rFonts w:ascii="Times New Roman" w:hAnsi="Times New Roman"/>
          <w:b w:val="0"/>
          <w:i w:val="0"/>
          <w:sz w:val="22"/>
        </w:rPr>
        <w:t xml:space="preserve">     Integration with WebXR would enable the development of immersive three-dimensional learning environments where MediaPipe's 3D landmark tracking could be used to drive avatar-based spatial interaction, creating engaging learning experiences for technical subjects such as molecular biology, engineering mechanics, or architectural design.</w:t>
      </w:r>
    </w:p>
    <w:p>
      <w:r>
        <w:br w:type="page"/>
      </w:r>
    </w:p>
    <w:p>
      <w:pPr>
        <w:spacing w:before="480" w:after="360" w:line="360" w:lineRule="exact"/>
        <w:jc w:val="center"/>
      </w:pPr>
      <w:r>
        <w:rPr>
          <w:rFonts w:ascii="Times New Roman" w:hAnsi="Times New Roman"/>
          <w:b/>
          <w:i w:val="0"/>
          <w:sz w:val="28"/>
        </w:rPr>
        <w:t>APPENDICES</w:t>
      </w:r>
    </w:p>
    <w:p>
      <w:pPr>
        <w:spacing w:before="160" w:after="80" w:line="360" w:lineRule="exact"/>
        <w:jc w:val="left"/>
      </w:pPr>
      <w:r>
        <w:rPr>
          <w:rFonts w:ascii="Times New Roman" w:hAnsi="Times New Roman"/>
          <w:b/>
          <w:i/>
          <w:sz w:val="24"/>
        </w:rPr>
        <w:t>Appendix A  MediaPipe Landmark Index Reference</w:t>
      </w:r>
    </w:p>
    <w:p>
      <w:pPr>
        <w:spacing w:before="0" w:after="120" w:line="360" w:lineRule="exact"/>
        <w:jc w:val="both"/>
      </w:pPr>
      <w:r>
        <w:rPr>
          <w:rFonts w:ascii="Times New Roman" w:hAnsi="Times New Roman"/>
          <w:b w:val="0"/>
          <w:i w:val="0"/>
          <w:sz w:val="24"/>
        </w:rPr>
        <w:t>The following MediaPipe Face Mesh landmark indices are used in Internixa's attention monitoring algorithms:</w:t>
      </w:r>
    </w:p>
    <w:p>
      <w:pPr>
        <w:spacing w:before="160" w:after="80" w:line="360" w:lineRule="exact"/>
        <w:jc w:val="center"/>
      </w:pPr>
      <w:r>
        <w:rPr>
          <w:rFonts w:ascii="Times New Roman" w:hAnsi="Times New Roman"/>
          <w:b/>
          <w:i/>
          <w:sz w:val="22"/>
        </w:rPr>
        <w:t>Table A.1 – Key MediaPipe Landmark Indices Used in Internixa</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val="clear"/>
          </w:tcPr>
          <w:p>
            <w:r>
              <w:rPr>
                <w:b/>
                <w:sz w:val="18"/>
              </w:rPr>
              <w:t>Landmark Index</w:t>
            </w:r>
          </w:p>
        </w:tc>
        <w:tc>
          <w:tcPr>
            <w:tcW w:type="dxa" w:w="2890"/>
            <w:shd w:fill="BFD7FF" w:val="clear"/>
          </w:tcPr>
          <w:p>
            <w:r>
              <w:rPr>
                <w:b/>
                <w:sz w:val="18"/>
              </w:rPr>
              <w:t>Anatomical Location</w:t>
            </w:r>
          </w:p>
        </w:tc>
        <w:tc>
          <w:tcPr>
            <w:tcW w:type="dxa" w:w="2890"/>
            <w:shd w:fill="BFD7FF" w:val="clear"/>
          </w:tcPr>
          <w:p>
            <w:r>
              <w:rPr>
                <w:b/>
                <w:sz w:val="18"/>
              </w:rPr>
              <w:t>Used In</w:t>
            </w:r>
          </w:p>
        </w:tc>
      </w:tr>
      <w:tr>
        <w:tc>
          <w:tcPr>
            <w:tcW w:type="dxa" w:w="2890"/>
          </w:tcPr>
          <w:p>
            <w:r>
              <w:rPr>
                <w:sz w:val="18"/>
              </w:rPr>
              <w:t>33</w:t>
            </w:r>
          </w:p>
        </w:tc>
        <w:tc>
          <w:tcPr>
            <w:tcW w:type="dxa" w:w="2890"/>
          </w:tcPr>
          <w:p>
            <w:r>
              <w:rPr>
                <w:sz w:val="18"/>
              </w:rPr>
              <w:t>Left eye inner corner</w:t>
            </w:r>
          </w:p>
        </w:tc>
        <w:tc>
          <w:tcPr>
            <w:tcW w:type="dxa" w:w="2890"/>
          </w:tcPr>
          <w:p>
            <w:r>
              <w:rPr>
                <w:sz w:val="18"/>
              </w:rPr>
              <w:t>EAR numerator, Gaze midpoint Mx</w:t>
            </w:r>
          </w:p>
        </w:tc>
      </w:tr>
      <w:tr>
        <w:tc>
          <w:tcPr>
            <w:tcW w:type="dxa" w:w="2890"/>
          </w:tcPr>
          <w:p>
            <w:r>
              <w:rPr>
                <w:sz w:val="18"/>
              </w:rPr>
              <w:t>133</w:t>
            </w:r>
          </w:p>
        </w:tc>
        <w:tc>
          <w:tcPr>
            <w:tcW w:type="dxa" w:w="2890"/>
          </w:tcPr>
          <w:p>
            <w:r>
              <w:rPr>
                <w:sz w:val="18"/>
              </w:rPr>
              <w:t>Left eye outer corner</w:t>
            </w:r>
          </w:p>
        </w:tc>
        <w:tc>
          <w:tcPr>
            <w:tcW w:type="dxa" w:w="2890"/>
          </w:tcPr>
          <w:p>
            <w:r>
              <w:rPr>
                <w:sz w:val="18"/>
              </w:rPr>
              <w:t>EAR denominator</w:t>
            </w:r>
          </w:p>
        </w:tc>
      </w:tr>
      <w:tr>
        <w:tc>
          <w:tcPr>
            <w:tcW w:type="dxa" w:w="2890"/>
          </w:tcPr>
          <w:p>
            <w:r>
              <w:rPr>
                <w:sz w:val="18"/>
              </w:rPr>
              <w:t>145</w:t>
            </w:r>
          </w:p>
        </w:tc>
        <w:tc>
          <w:tcPr>
            <w:tcW w:type="dxa" w:w="2890"/>
          </w:tcPr>
          <w:p>
            <w:r>
              <w:rPr>
                <w:sz w:val="18"/>
              </w:rPr>
              <w:t>Left lower eyelid (lateral)</w:t>
            </w:r>
          </w:p>
        </w:tc>
        <w:tc>
          <w:tcPr>
            <w:tcW w:type="dxa" w:w="2890"/>
          </w:tcPr>
          <w:p>
            <w:r>
              <w:rPr>
                <w:sz w:val="18"/>
              </w:rPr>
              <w:t>EAR numerator</w:t>
            </w:r>
          </w:p>
        </w:tc>
      </w:tr>
      <w:tr>
        <w:tc>
          <w:tcPr>
            <w:tcW w:type="dxa" w:w="2890"/>
          </w:tcPr>
          <w:p>
            <w:r>
              <w:rPr>
                <w:sz w:val="18"/>
              </w:rPr>
              <w:t>158</w:t>
            </w:r>
          </w:p>
        </w:tc>
        <w:tc>
          <w:tcPr>
            <w:tcW w:type="dxa" w:w="2890"/>
          </w:tcPr>
          <w:p>
            <w:r>
              <w:rPr>
                <w:sz w:val="18"/>
              </w:rPr>
              <w:t>Left upper eyelid (lateral)</w:t>
            </w:r>
          </w:p>
        </w:tc>
        <w:tc>
          <w:tcPr>
            <w:tcW w:type="dxa" w:w="2890"/>
          </w:tcPr>
          <w:p>
            <w:r>
              <w:rPr>
                <w:sz w:val="18"/>
              </w:rPr>
              <w:t>EAR numerator</w:t>
            </w:r>
          </w:p>
        </w:tc>
      </w:tr>
      <w:tr>
        <w:tc>
          <w:tcPr>
            <w:tcW w:type="dxa" w:w="2890"/>
          </w:tcPr>
          <w:p>
            <w:r>
              <w:rPr>
                <w:sz w:val="18"/>
              </w:rPr>
              <w:t>159</w:t>
            </w:r>
          </w:p>
        </w:tc>
        <w:tc>
          <w:tcPr>
            <w:tcW w:type="dxa" w:w="2890"/>
          </w:tcPr>
          <w:p>
            <w:r>
              <w:rPr>
                <w:sz w:val="18"/>
              </w:rPr>
              <w:t>Left upper eyelid (medial)</w:t>
            </w:r>
          </w:p>
        </w:tc>
        <w:tc>
          <w:tcPr>
            <w:tcW w:type="dxa" w:w="2890"/>
          </w:tcPr>
          <w:p>
            <w:r>
              <w:rPr>
                <w:sz w:val="18"/>
              </w:rPr>
              <w:t>EAR numerator</w:t>
            </w:r>
          </w:p>
        </w:tc>
      </w:tr>
      <w:tr>
        <w:tc>
          <w:tcPr>
            <w:tcW w:type="dxa" w:w="2890"/>
          </w:tcPr>
          <w:p>
            <w:r>
              <w:rPr>
                <w:sz w:val="18"/>
              </w:rPr>
              <w:t>144</w:t>
            </w:r>
          </w:p>
        </w:tc>
        <w:tc>
          <w:tcPr>
            <w:tcW w:type="dxa" w:w="2890"/>
          </w:tcPr>
          <w:p>
            <w:r>
              <w:rPr>
                <w:sz w:val="18"/>
              </w:rPr>
              <w:t>Left lower eyelid (medial)</w:t>
            </w:r>
          </w:p>
        </w:tc>
        <w:tc>
          <w:tcPr>
            <w:tcW w:type="dxa" w:w="2890"/>
          </w:tcPr>
          <w:p>
            <w:r>
              <w:rPr>
                <w:sz w:val="18"/>
              </w:rPr>
              <w:t>EAR numerator</w:t>
            </w:r>
          </w:p>
        </w:tc>
      </w:tr>
      <w:tr>
        <w:tc>
          <w:tcPr>
            <w:tcW w:type="dxa" w:w="2890"/>
          </w:tcPr>
          <w:p>
            <w:r>
              <w:rPr>
                <w:sz w:val="18"/>
              </w:rPr>
              <w:t>263</w:t>
            </w:r>
          </w:p>
        </w:tc>
        <w:tc>
          <w:tcPr>
            <w:tcW w:type="dxa" w:w="2890"/>
          </w:tcPr>
          <w:p>
            <w:r>
              <w:rPr>
                <w:sz w:val="18"/>
              </w:rPr>
              <w:t>Right eye inner corner</w:t>
            </w:r>
          </w:p>
        </w:tc>
        <w:tc>
          <w:tcPr>
            <w:tcW w:type="dxa" w:w="2890"/>
          </w:tcPr>
          <w:p>
            <w:r>
              <w:rPr>
                <w:sz w:val="18"/>
              </w:rPr>
              <w:t>Gaze midpoint Mx</w:t>
            </w:r>
          </w:p>
        </w:tc>
      </w:tr>
      <w:tr>
        <w:tc>
          <w:tcPr>
            <w:tcW w:type="dxa" w:w="2890"/>
          </w:tcPr>
          <w:p>
            <w:r>
              <w:rPr>
                <w:sz w:val="18"/>
              </w:rPr>
              <w:t>362</w:t>
            </w:r>
          </w:p>
        </w:tc>
        <w:tc>
          <w:tcPr>
            <w:tcW w:type="dxa" w:w="2890"/>
          </w:tcPr>
          <w:p>
            <w:r>
              <w:rPr>
                <w:sz w:val="18"/>
              </w:rPr>
              <w:t>Right eye outer corner</w:t>
            </w:r>
          </w:p>
        </w:tc>
        <w:tc>
          <w:tcPr>
            <w:tcW w:type="dxa" w:w="2890"/>
          </w:tcPr>
          <w:p>
            <w:r>
              <w:rPr>
                <w:sz w:val="18"/>
              </w:rPr>
              <w:t>Right EAR denominator</w:t>
            </w:r>
          </w:p>
        </w:tc>
      </w:tr>
      <w:tr>
        <w:tc>
          <w:tcPr>
            <w:tcW w:type="dxa" w:w="2890"/>
          </w:tcPr>
          <w:p>
            <w:r>
              <w:rPr>
                <w:sz w:val="18"/>
              </w:rPr>
              <w:t>4</w:t>
            </w:r>
          </w:p>
        </w:tc>
        <w:tc>
          <w:tcPr>
            <w:tcW w:type="dxa" w:w="2890"/>
          </w:tcPr>
          <w:p>
            <w:r>
              <w:rPr>
                <w:sz w:val="18"/>
              </w:rPr>
              <w:t>Nose tip</w:t>
            </w:r>
          </w:p>
        </w:tc>
        <w:tc>
          <w:tcPr>
            <w:tcW w:type="dxa" w:w="2890"/>
          </w:tcPr>
          <w:p>
            <w:r>
              <w:rPr>
                <w:sz w:val="18"/>
              </w:rPr>
              <w:t>Gaze deviation computation</w:t>
            </w:r>
          </w:p>
        </w:tc>
      </w:tr>
    </w:tbl>
    <w:p/>
    <w:p>
      <w:pPr>
        <w:spacing w:before="160" w:after="80" w:line="360" w:lineRule="exact"/>
        <w:jc w:val="left"/>
      </w:pPr>
      <w:r>
        <w:rPr>
          <w:rFonts w:ascii="Times New Roman" w:hAnsi="Times New Roman"/>
          <w:b/>
          <w:i/>
          <w:sz w:val="24"/>
        </w:rPr>
        <w:t>Appendix B  FastAPI Endpoint Inventory</w:t>
      </w:r>
    </w:p>
    <w:p>
      <w:pPr>
        <w:spacing w:before="160" w:after="80" w:line="360" w:lineRule="exact"/>
        <w:jc w:val="center"/>
      </w:pPr>
      <w:r>
        <w:rPr>
          <w:rFonts w:ascii="Times New Roman" w:hAnsi="Times New Roman"/>
          <w:b/>
          <w:i/>
          <w:sz w:val="22"/>
        </w:rPr>
        <w:t>Table B.1 – FastAPI API Endpoint Inventory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BFD7FF" w:val="clear"/>
          </w:tcPr>
          <w:p>
            <w:r>
              <w:rPr>
                <w:b/>
                <w:sz w:val="18"/>
              </w:rPr>
              <w:t>Method</w:t>
            </w:r>
          </w:p>
        </w:tc>
        <w:tc>
          <w:tcPr>
            <w:tcW w:type="dxa" w:w="2167"/>
            <w:shd w:fill="BFD7FF" w:val="clear"/>
          </w:tcPr>
          <w:p>
            <w:r>
              <w:rPr>
                <w:b/>
                <w:sz w:val="18"/>
              </w:rPr>
              <w:t>Endpoint</w:t>
            </w:r>
          </w:p>
        </w:tc>
        <w:tc>
          <w:tcPr>
            <w:tcW w:type="dxa" w:w="2167"/>
            <w:shd w:fill="BFD7FF" w:val="clear"/>
          </w:tcPr>
          <w:p>
            <w:r>
              <w:rPr>
                <w:b/>
                <w:sz w:val="18"/>
              </w:rPr>
              <w:t>Description</w:t>
            </w:r>
          </w:p>
        </w:tc>
        <w:tc>
          <w:tcPr>
            <w:tcW w:type="dxa" w:w="2167"/>
            <w:shd w:fill="BFD7FF" w:val="clear"/>
          </w:tcPr>
          <w:p>
            <w:r>
              <w:rPr>
                <w:b/>
                <w:sz w:val="18"/>
              </w:rPr>
              <w:t>Auth Required</w:t>
            </w:r>
          </w:p>
        </w:tc>
      </w:tr>
      <w:tr>
        <w:tc>
          <w:tcPr>
            <w:tcW w:type="dxa" w:w="2167"/>
          </w:tcPr>
          <w:p>
            <w:r>
              <w:rPr>
                <w:sz w:val="18"/>
              </w:rPr>
              <w:t>POST</w:t>
            </w:r>
          </w:p>
        </w:tc>
        <w:tc>
          <w:tcPr>
            <w:tcW w:type="dxa" w:w="2167"/>
          </w:tcPr>
          <w:p>
            <w:r>
              <w:rPr>
                <w:sz w:val="18"/>
              </w:rPr>
              <w:t>/api/auth/register</w:t>
            </w:r>
          </w:p>
        </w:tc>
        <w:tc>
          <w:tcPr>
            <w:tcW w:type="dxa" w:w="2167"/>
          </w:tcPr>
          <w:p>
            <w:r>
              <w:rPr>
                <w:sz w:val="18"/>
              </w:rPr>
              <w:t>User registration</w:t>
            </w:r>
          </w:p>
        </w:tc>
        <w:tc>
          <w:tcPr>
            <w:tcW w:type="dxa" w:w="2167"/>
          </w:tcPr>
          <w:p>
            <w:r>
              <w:rPr>
                <w:sz w:val="18"/>
              </w:rPr>
              <w:t>No</w:t>
            </w:r>
          </w:p>
        </w:tc>
      </w:tr>
      <w:tr>
        <w:tc>
          <w:tcPr>
            <w:tcW w:type="dxa" w:w="2167"/>
          </w:tcPr>
          <w:p>
            <w:r>
              <w:rPr>
                <w:sz w:val="18"/>
              </w:rPr>
              <w:t>POST</w:t>
            </w:r>
          </w:p>
        </w:tc>
        <w:tc>
          <w:tcPr>
            <w:tcW w:type="dxa" w:w="2167"/>
          </w:tcPr>
          <w:p>
            <w:r>
              <w:rPr>
                <w:sz w:val="18"/>
              </w:rPr>
              <w:t>/api/auth/login</w:t>
            </w:r>
          </w:p>
        </w:tc>
        <w:tc>
          <w:tcPr>
            <w:tcW w:type="dxa" w:w="2167"/>
          </w:tcPr>
          <w:p>
            <w:r>
              <w:rPr>
                <w:sz w:val="18"/>
              </w:rPr>
              <w:t>User login – returns JWT</w:t>
            </w:r>
          </w:p>
        </w:tc>
        <w:tc>
          <w:tcPr>
            <w:tcW w:type="dxa" w:w="2167"/>
          </w:tcPr>
          <w:p>
            <w:r>
              <w:rPr>
                <w:sz w:val="18"/>
              </w:rPr>
              <w:t>No</w:t>
            </w:r>
          </w:p>
        </w:tc>
      </w:tr>
      <w:tr>
        <w:tc>
          <w:tcPr>
            <w:tcW w:type="dxa" w:w="2167"/>
          </w:tcPr>
          <w:p>
            <w:r>
              <w:rPr>
                <w:sz w:val="18"/>
              </w:rPr>
              <w:t>GET</w:t>
            </w:r>
          </w:p>
        </w:tc>
        <w:tc>
          <w:tcPr>
            <w:tcW w:type="dxa" w:w="2167"/>
          </w:tcPr>
          <w:p>
            <w:r>
              <w:rPr>
                <w:sz w:val="18"/>
              </w:rPr>
              <w:t>/api/courses</w:t>
            </w:r>
          </w:p>
        </w:tc>
        <w:tc>
          <w:tcPr>
            <w:tcW w:type="dxa" w:w="2167"/>
          </w:tcPr>
          <w:p>
            <w:r>
              <w:rPr>
                <w:sz w:val="18"/>
              </w:rPr>
              <w:t>Fetch all published courses</w:t>
            </w:r>
          </w:p>
        </w:tc>
        <w:tc>
          <w:tcPr>
            <w:tcW w:type="dxa" w:w="2167"/>
          </w:tcPr>
          <w:p>
            <w:r>
              <w:rPr>
                <w:sz w:val="18"/>
              </w:rPr>
              <w:t>Yes</w:t>
            </w:r>
          </w:p>
        </w:tc>
      </w:tr>
      <w:tr>
        <w:tc>
          <w:tcPr>
            <w:tcW w:type="dxa" w:w="2167"/>
          </w:tcPr>
          <w:p>
            <w:r>
              <w:rPr>
                <w:sz w:val="18"/>
              </w:rPr>
              <w:t>GET</w:t>
            </w:r>
          </w:p>
        </w:tc>
        <w:tc>
          <w:tcPr>
            <w:tcW w:type="dxa" w:w="2167"/>
          </w:tcPr>
          <w:p>
            <w:r>
              <w:rPr>
                <w:sz w:val="18"/>
              </w:rPr>
              <w:t>/api/courses/{id}</w:t>
            </w:r>
          </w:p>
        </w:tc>
        <w:tc>
          <w:tcPr>
            <w:tcW w:type="dxa" w:w="2167"/>
          </w:tcPr>
          <w:p>
            <w:r>
              <w:rPr>
                <w:sz w:val="18"/>
              </w:rPr>
              <w:t>Fetch single course + transcript</w:t>
            </w:r>
          </w:p>
        </w:tc>
        <w:tc>
          <w:tcPr>
            <w:tcW w:type="dxa" w:w="2167"/>
          </w:tcPr>
          <w:p>
            <w:r>
              <w:rPr>
                <w:sz w:val="18"/>
              </w:rPr>
              <w:t>Yes</w:t>
            </w:r>
          </w:p>
        </w:tc>
      </w:tr>
      <w:tr>
        <w:tc>
          <w:tcPr>
            <w:tcW w:type="dxa" w:w="2167"/>
          </w:tcPr>
          <w:p>
            <w:r>
              <w:rPr>
                <w:sz w:val="18"/>
              </w:rPr>
              <w:t>POST</w:t>
            </w:r>
          </w:p>
        </w:tc>
        <w:tc>
          <w:tcPr>
            <w:tcW w:type="dxa" w:w="2167"/>
          </w:tcPr>
          <w:p>
            <w:r>
              <w:rPr>
                <w:sz w:val="18"/>
              </w:rPr>
              <w:t>/api/session/complete</w:t>
            </w:r>
          </w:p>
        </w:tc>
        <w:tc>
          <w:tcPr>
            <w:tcW w:type="dxa" w:w="2167"/>
          </w:tcPr>
          <w:p>
            <w:r>
              <w:rPr>
                <w:sz w:val="18"/>
              </w:rPr>
              <w:t>Log session, compute FP, gate cert</w:t>
            </w:r>
          </w:p>
        </w:tc>
        <w:tc>
          <w:tcPr>
            <w:tcW w:type="dxa" w:w="2167"/>
          </w:tcPr>
          <w:p>
            <w:r>
              <w:rPr>
                <w:sz w:val="18"/>
              </w:rPr>
              <w:t>Yes</w:t>
            </w:r>
          </w:p>
        </w:tc>
      </w:tr>
      <w:tr>
        <w:tc>
          <w:tcPr>
            <w:tcW w:type="dxa" w:w="2167"/>
          </w:tcPr>
          <w:p>
            <w:r>
              <w:rPr>
                <w:sz w:val="18"/>
              </w:rPr>
              <w:t>GET</w:t>
            </w:r>
          </w:p>
        </w:tc>
        <w:tc>
          <w:tcPr>
            <w:tcW w:type="dxa" w:w="2167"/>
          </w:tcPr>
          <w:p>
            <w:r>
              <w:rPr>
                <w:sz w:val="18"/>
              </w:rPr>
              <w:t>/api/certificates/{user_id}</w:t>
            </w:r>
          </w:p>
        </w:tc>
        <w:tc>
          <w:tcPr>
            <w:tcW w:type="dxa" w:w="2167"/>
          </w:tcPr>
          <w:p>
            <w:r>
              <w:rPr>
                <w:sz w:val="18"/>
              </w:rPr>
              <w:t>Fetch user certificate list</w:t>
            </w:r>
          </w:p>
        </w:tc>
        <w:tc>
          <w:tcPr>
            <w:tcW w:type="dxa" w:w="2167"/>
          </w:tcPr>
          <w:p>
            <w:r>
              <w:rPr>
                <w:sz w:val="18"/>
              </w:rPr>
              <w:t>Yes</w:t>
            </w:r>
          </w:p>
        </w:tc>
      </w:tr>
      <w:tr>
        <w:tc>
          <w:tcPr>
            <w:tcW w:type="dxa" w:w="2167"/>
          </w:tcPr>
          <w:p>
            <w:r>
              <w:rPr>
                <w:sz w:val="18"/>
              </w:rPr>
              <w:t>POST</w:t>
            </w:r>
          </w:p>
        </w:tc>
        <w:tc>
          <w:tcPr>
            <w:tcW w:type="dxa" w:w="2167"/>
          </w:tcPr>
          <w:p>
            <w:r>
              <w:rPr>
                <w:sz w:val="18"/>
              </w:rPr>
              <w:t>/api/chatbot/chat</w:t>
            </w:r>
          </w:p>
        </w:tc>
        <w:tc>
          <w:tcPr>
            <w:tcW w:type="dxa" w:w="2167"/>
          </w:tcPr>
          <w:p>
            <w:r>
              <w:rPr>
                <w:sz w:val="18"/>
              </w:rPr>
              <w:t>RAG chatbot query</w:t>
            </w:r>
          </w:p>
        </w:tc>
        <w:tc>
          <w:tcPr>
            <w:tcW w:type="dxa" w:w="2167"/>
          </w:tcPr>
          <w:p>
            <w:r>
              <w:rPr>
                <w:sz w:val="18"/>
              </w:rPr>
              <w:t>Yes</w:t>
            </w:r>
          </w:p>
        </w:tc>
      </w:tr>
      <w:tr>
        <w:tc>
          <w:tcPr>
            <w:tcW w:type="dxa" w:w="2167"/>
          </w:tcPr>
          <w:p>
            <w:r>
              <w:rPr>
                <w:sz w:val="18"/>
              </w:rPr>
              <w:t>POST</w:t>
            </w:r>
          </w:p>
        </w:tc>
        <w:tc>
          <w:tcPr>
            <w:tcW w:type="dxa" w:w="2167"/>
          </w:tcPr>
          <w:p>
            <w:r>
              <w:rPr>
                <w:sz w:val="18"/>
              </w:rPr>
              <w:t>/api/summary/generate</w:t>
            </w:r>
          </w:p>
        </w:tc>
        <w:tc>
          <w:tcPr>
            <w:tcW w:type="dxa" w:w="2167"/>
          </w:tcPr>
          <w:p>
            <w:r>
              <w:rPr>
                <w:sz w:val="18"/>
              </w:rPr>
              <w:t>Generate AI study sheet</w:t>
            </w:r>
          </w:p>
        </w:tc>
        <w:tc>
          <w:tcPr>
            <w:tcW w:type="dxa" w:w="2167"/>
          </w:tcPr>
          <w:p>
            <w:r>
              <w:rPr>
                <w:sz w:val="18"/>
              </w:rPr>
              <w:t>Yes</w:t>
            </w:r>
          </w:p>
        </w:tc>
      </w:tr>
      <w:tr>
        <w:tc>
          <w:tcPr>
            <w:tcW w:type="dxa" w:w="2167"/>
          </w:tcPr>
          <w:p>
            <w:r>
              <w:rPr>
                <w:sz w:val="18"/>
              </w:rPr>
              <w:t>GET</w:t>
            </w:r>
          </w:p>
        </w:tc>
        <w:tc>
          <w:tcPr>
            <w:tcW w:type="dxa" w:w="2167"/>
          </w:tcPr>
          <w:p>
            <w:r>
              <w:rPr>
                <w:sz w:val="18"/>
              </w:rPr>
              <w:t>/api/leaderboard</w:t>
            </w:r>
          </w:p>
        </w:tc>
        <w:tc>
          <w:tcPr>
            <w:tcW w:type="dxa" w:w="2167"/>
          </w:tcPr>
          <w:p>
            <w:r>
              <w:rPr>
                <w:sz w:val="18"/>
              </w:rPr>
              <w:t>Fetch ranked FP leaderboard</w:t>
            </w:r>
          </w:p>
        </w:tc>
        <w:tc>
          <w:tcPr>
            <w:tcW w:type="dxa" w:w="2167"/>
          </w:tcPr>
          <w:p>
            <w:r>
              <w:rPr>
                <w:sz w:val="18"/>
              </w:rPr>
              <w:t>Yes</w:t>
            </w:r>
          </w:p>
        </w:tc>
      </w:tr>
      <w:tr>
        <w:tc>
          <w:tcPr>
            <w:tcW w:type="dxa" w:w="2167"/>
          </w:tcPr>
          <w:p>
            <w:r>
              <w:rPr>
                <w:sz w:val="18"/>
              </w:rPr>
              <w:t>POST</w:t>
            </w:r>
          </w:p>
        </w:tc>
        <w:tc>
          <w:tcPr>
            <w:tcW w:type="dxa" w:w="2167"/>
          </w:tcPr>
          <w:p>
            <w:r>
              <w:rPr>
                <w:sz w:val="18"/>
              </w:rPr>
              <w:t>/api/recruiter/internship</w:t>
            </w:r>
          </w:p>
        </w:tc>
        <w:tc>
          <w:tcPr>
            <w:tcW w:type="dxa" w:w="2167"/>
          </w:tcPr>
          <w:p>
            <w:r>
              <w:rPr>
                <w:sz w:val="18"/>
              </w:rPr>
              <w:t>Post internship listing</w:t>
            </w:r>
          </w:p>
        </w:tc>
        <w:tc>
          <w:tcPr>
            <w:tcW w:type="dxa" w:w="2167"/>
          </w:tcPr>
          <w:p>
            <w:r>
              <w:rPr>
                <w:sz w:val="18"/>
              </w:rPr>
              <w:t>Yes (Recruiter)</w:t>
            </w:r>
          </w:p>
        </w:tc>
      </w:tr>
      <w:tr>
        <w:tc>
          <w:tcPr>
            <w:tcW w:type="dxa" w:w="2167"/>
          </w:tcPr>
          <w:p>
            <w:r>
              <w:rPr>
                <w:sz w:val="18"/>
              </w:rPr>
              <w:t>GET</w:t>
            </w:r>
          </w:p>
        </w:tc>
        <w:tc>
          <w:tcPr>
            <w:tcW w:type="dxa" w:w="2167"/>
          </w:tcPr>
          <w:p>
            <w:r>
              <w:rPr>
                <w:sz w:val="18"/>
              </w:rPr>
              <w:t>/api/recruiter/applicants/{id}</w:t>
            </w:r>
          </w:p>
        </w:tc>
        <w:tc>
          <w:tcPr>
            <w:tcW w:type="dxa" w:w="2167"/>
          </w:tcPr>
          <w:p>
            <w:r>
              <w:rPr>
                <w:sz w:val="18"/>
              </w:rPr>
              <w:t>Fetch applicants for listing</w:t>
            </w:r>
          </w:p>
        </w:tc>
        <w:tc>
          <w:tcPr>
            <w:tcW w:type="dxa" w:w="2167"/>
          </w:tcPr>
          <w:p>
            <w:r>
              <w:rPr>
                <w:sz w:val="18"/>
              </w:rPr>
              <w:t>Yes (Recruiter)</w:t>
            </w:r>
          </w:p>
        </w:tc>
      </w:tr>
      <w:tr>
        <w:tc>
          <w:tcPr>
            <w:tcW w:type="dxa" w:w="2167"/>
          </w:tcPr>
          <w:p>
            <w:r>
              <w:rPr>
                <w:sz w:val="18"/>
              </w:rPr>
              <w:t>GET</w:t>
            </w:r>
          </w:p>
        </w:tc>
        <w:tc>
          <w:tcPr>
            <w:tcW w:type="dxa" w:w="2167"/>
          </w:tcPr>
          <w:p>
            <w:r>
              <w:rPr>
                <w:sz w:val="18"/>
              </w:rPr>
              <w:t>/api/certificates/verify/{cert_id}</w:t>
            </w:r>
          </w:p>
        </w:tc>
        <w:tc>
          <w:tcPr>
            <w:tcW w:type="dxa" w:w="2167"/>
          </w:tcPr>
          <w:p>
            <w:r>
              <w:rPr>
                <w:sz w:val="18"/>
              </w:rPr>
              <w:t>Public certificate verification</w:t>
            </w:r>
          </w:p>
        </w:tc>
        <w:tc>
          <w:tcPr>
            <w:tcW w:type="dxa" w:w="2167"/>
          </w:tcPr>
          <w:p>
            <w:r>
              <w:rPr>
                <w:sz w:val="18"/>
              </w:rPr>
              <w:t>No</w:t>
            </w:r>
          </w:p>
        </w:tc>
      </w:tr>
    </w:tbl>
    <w:p/>
    <w:p>
      <w:pPr>
        <w:spacing w:before="160" w:after="80" w:line="360" w:lineRule="exact"/>
        <w:jc w:val="left"/>
      </w:pPr>
      <w:r>
        <w:rPr>
          <w:rFonts w:ascii="Times New Roman" w:hAnsi="Times New Roman"/>
          <w:b/>
          <w:i/>
          <w:sz w:val="24"/>
        </w:rPr>
        <w:t>Appendix C  MongoDB Collection Schemas</w:t>
      </w:r>
    </w:p>
    <w:p>
      <w:pPr>
        <w:spacing w:before="0" w:after="120" w:line="360" w:lineRule="exact"/>
        <w:jc w:val="both"/>
      </w:pPr>
      <w:r>
        <w:rPr>
          <w:rFonts w:ascii="Times New Roman" w:hAnsi="Times New Roman"/>
          <w:b w:val="0"/>
          <w:i w:val="0"/>
          <w:sz w:val="24"/>
        </w:rPr>
        <w:t>Users: { _id, name, email, password_hash, role (student|recruiter), fp_total, fp_weekly, created_at, profile_image_url }</w:t>
      </w:r>
    </w:p>
    <w:p>
      <w:pPr>
        <w:spacing w:before="0" w:after="120" w:line="360" w:lineRule="exact"/>
        <w:jc w:val="both"/>
      </w:pPr>
      <w:r>
        <w:rPr>
          <w:rFonts w:ascii="Times New Roman" w:hAnsi="Times New Roman"/>
          <w:b w:val="0"/>
          <w:i w:val="0"/>
          <w:sz w:val="24"/>
        </w:rPr>
        <w:t>Courses: { _id, title, description, video_url, transcript, thumbnail_url, instructor_name, duration_mins, difficulty_level, recruiter_id, created_at }</w:t>
      </w:r>
    </w:p>
    <w:p>
      <w:pPr>
        <w:spacing w:before="0" w:after="120" w:line="360" w:lineRule="exact"/>
        <w:jc w:val="both"/>
      </w:pPr>
      <w:r>
        <w:rPr>
          <w:rFonts w:ascii="Times New Roman" w:hAnsi="Times New Roman"/>
          <w:b w:val="0"/>
          <w:i w:val="0"/>
          <w:sz w:val="24"/>
        </w:rPr>
        <w:t>Sessions: { _id, user_id, course_id, active_time_secs, session_time_secs, engagement_score, fp_earned, chatbot_interactions, completed_at }</w:t>
      </w:r>
    </w:p>
    <w:p>
      <w:pPr>
        <w:spacing w:before="0" w:after="120" w:line="360" w:lineRule="exact"/>
        <w:jc w:val="both"/>
      </w:pPr>
      <w:r>
        <w:rPr>
          <w:rFonts w:ascii="Times New Roman" w:hAnsi="Times New Roman"/>
          <w:b w:val="0"/>
          <w:i w:val="0"/>
          <w:sz w:val="24"/>
        </w:rPr>
        <w:t>Certificates: { _id, user_id, course_id, engagement_score, issued_at, verification_id, pdf_gridfs_id }</w:t>
      </w:r>
    </w:p>
    <w:p>
      <w:pPr>
        <w:spacing w:before="0" w:after="120" w:line="360" w:lineRule="exact"/>
        <w:jc w:val="both"/>
      </w:pPr>
      <w:r>
        <w:rPr>
          <w:rFonts w:ascii="Times New Roman" w:hAnsi="Times New Roman"/>
          <w:b w:val="0"/>
          <w:i w:val="0"/>
          <w:sz w:val="24"/>
        </w:rPr>
        <w:t>Meetings: { _id, host_id, room_id, participants: [{user_id, join_time, leave_time, active_time, engagement_score}], started_at, ended_at }</w:t>
      </w:r>
    </w:p>
    <w:p>
      <w:pPr>
        <w:spacing w:before="160" w:after="80" w:line="360" w:lineRule="exact"/>
        <w:jc w:val="left"/>
      </w:pPr>
      <w:r>
        <w:rPr>
          <w:rFonts w:ascii="Times New Roman" w:hAnsi="Times New Roman"/>
          <w:b/>
          <w:i/>
          <w:sz w:val="24"/>
        </w:rPr>
        <w:t>Appendix D  Sample Certificate Layout</w:t>
      </w:r>
    </w:p>
    <w:p>
      <w:pPr>
        <w:spacing w:before="0" w:after="120" w:line="360" w:lineRule="exact"/>
        <w:jc w:val="both"/>
      </w:pPr>
      <w:r>
        <w:rPr>
          <w:rFonts w:ascii="Times New Roman" w:hAnsi="Times New Roman"/>
          <w:b w:val="0"/>
          <w:i w:val="0"/>
          <w:sz w:val="24"/>
        </w:rPr>
        <w:t>Each Internixa certificate is an A4-landscape PDF containing: the Internixa platform logo and digital seal (top centre), the text 'Certificate of Completion' in serif 28pt, the student's full name in 24pt, the course title in 18pt, the verified engagement score (e.g. 'Verified Engagement: 84%'), the completion date, a unique verification ID with QR code linking to the public verification endpoint, and a diagonal 'INTERNIXA VERIFIED' watermark.</w:t>
      </w:r>
    </w:p>
    <w:p>
      <w:r>
        <w:br w:type="page"/>
      </w:r>
    </w:p>
    <w:p>
      <w:pPr>
        <w:spacing w:before="480" w:after="360" w:line="360" w:lineRule="exact"/>
        <w:jc w:val="center"/>
      </w:pPr>
      <w:r>
        <w:rPr>
          <w:rFonts w:ascii="Times New Roman" w:hAnsi="Times New Roman"/>
          <w:b/>
          <w:i w:val="0"/>
          <w:sz w:val="28"/>
        </w:rPr>
        <w:t>REFERENCES</w:t>
      </w:r>
    </w:p>
    <w:p>
      <w:pPr>
        <w:spacing w:before="0" w:after="120" w:line="360" w:lineRule="exact"/>
        <w:jc w:val="both"/>
      </w:pPr>
      <w:r>
        <w:rPr>
          <w:rFonts w:ascii="Times New Roman" w:hAnsi="Times New Roman"/>
          <w:b w:val="0"/>
          <w:i w:val="0"/>
          <w:sz w:val="24"/>
        </w:rPr>
        <w:t>[1] Y. Kartynnik, A. Ablavatski, I. Grishchenko, and M. Grundmann, "Real-time Facial Surface Geometry from Monocular Video on Mobile GPUs," arXiv:1907.06724, 2019.</w:t>
      </w:r>
    </w:p>
    <w:p>
      <w:pPr>
        <w:spacing w:before="0" w:after="120" w:line="360" w:lineRule="exact"/>
        <w:jc w:val="both"/>
      </w:pPr>
      <w:r>
        <w:rPr>
          <w:rFonts w:ascii="Times New Roman" w:hAnsi="Times New Roman"/>
          <w:b w:val="0"/>
          <w:i w:val="0"/>
          <w:sz w:val="24"/>
        </w:rPr>
        <w:t>[2] T. Soukupova and J. Cech, "Real-Time Eye Blink Detection using Facial Landmarks," in Proc. 21st Computer Vision Winter Workshop (CVWW), 2016.</w:t>
      </w:r>
    </w:p>
    <w:p>
      <w:pPr>
        <w:spacing w:before="0" w:after="120" w:line="360" w:lineRule="exact"/>
        <w:jc w:val="both"/>
      </w:pPr>
      <w:r>
        <w:rPr>
          <w:rFonts w:ascii="Times New Roman" w:hAnsi="Times New Roman"/>
          <w:b w:val="0"/>
          <w:i w:val="0"/>
          <w:sz w:val="24"/>
        </w:rPr>
        <w:t>[3] P. Lewis, E. Perez, A. Piktus et al., "Retrieval-Augmented Generation for Knowledge-Intensive NLP Tasks," in Advances in Neural Information Processing Systems (NeurIPS), vol. 33, 2020.</w:t>
      </w:r>
    </w:p>
    <w:p>
      <w:pPr>
        <w:spacing w:before="0" w:after="120" w:line="360" w:lineRule="exact"/>
        <w:jc w:val="both"/>
      </w:pPr>
      <w:r>
        <w:rPr>
          <w:rFonts w:ascii="Times New Roman" w:hAnsi="Times New Roman"/>
          <w:b w:val="0"/>
          <w:i w:val="0"/>
          <w:sz w:val="24"/>
        </w:rPr>
        <w:t>[4] S. Ramirez, "FastAPI: Modern, fast web framework for building APIs with Python 3.7+," 2023. [Online]. Available: https://fastapi.tiangolo.com</w:t>
      </w:r>
    </w:p>
    <w:p>
      <w:pPr>
        <w:spacing w:before="0" w:after="120" w:line="360" w:lineRule="exact"/>
        <w:jc w:val="both"/>
      </w:pPr>
      <w:r>
        <w:rPr>
          <w:rFonts w:ascii="Times New Roman" w:hAnsi="Times New Roman"/>
          <w:b w:val="0"/>
          <w:i w:val="0"/>
          <w:sz w:val="24"/>
        </w:rPr>
        <w:t>[5] MongoDB Inc., "MongoDB Manual v7.0," 2024. [Online]. Available: https://www.mongodb.com/docs/manual/</w:t>
      </w:r>
    </w:p>
    <w:p>
      <w:pPr>
        <w:spacing w:before="0" w:after="120" w:line="360" w:lineRule="exact"/>
        <w:jc w:val="both"/>
      </w:pPr>
      <w:r>
        <w:rPr>
          <w:rFonts w:ascii="Times New Roman" w:hAnsi="Times New Roman"/>
          <w:b w:val="0"/>
          <w:i w:val="0"/>
          <w:sz w:val="24"/>
        </w:rPr>
        <w:t>[6] Pinecone Systems Inc., "Pinecone Vector Database Documentation," 2024. [Online]. Available: https://docs.pinecone.io</w:t>
      </w:r>
    </w:p>
    <w:p>
      <w:pPr>
        <w:spacing w:before="0" w:after="120" w:line="360" w:lineRule="exact"/>
        <w:jc w:val="both"/>
      </w:pPr>
      <w:r>
        <w:rPr>
          <w:rFonts w:ascii="Times New Roman" w:hAnsi="Times New Roman"/>
          <w:b w:val="0"/>
          <w:i w:val="0"/>
          <w:sz w:val="24"/>
        </w:rPr>
        <w:t>[7] W3C, "WebRTC 1.0: Real-Time Communication Between Browsers," W3C Recommendation, Jan. 2021. [Online]. Available: https://www.w3.org/TR/webrtc/</w:t>
      </w:r>
    </w:p>
    <w:p>
      <w:pPr>
        <w:spacing w:before="0" w:after="120" w:line="360" w:lineRule="exact"/>
        <w:jc w:val="both"/>
      </w:pPr>
      <w:r>
        <w:rPr>
          <w:rFonts w:ascii="Times New Roman" w:hAnsi="Times New Roman"/>
          <w:b w:val="0"/>
          <w:i w:val="0"/>
          <w:sz w:val="24"/>
        </w:rPr>
        <w:t>[8] Google DeepMind, "Gemini: A Family of Highly Capable Multimodal Models," Technical Report, 2024.</w:t>
      </w:r>
    </w:p>
    <w:p>
      <w:pPr>
        <w:spacing w:before="0" w:after="120" w:line="360" w:lineRule="exact"/>
        <w:jc w:val="both"/>
      </w:pPr>
      <w:r>
        <w:rPr>
          <w:rFonts w:ascii="Times New Roman" w:hAnsi="Times New Roman"/>
          <w:b w:val="0"/>
          <w:i w:val="0"/>
          <w:sz w:val="24"/>
        </w:rPr>
        <w:t>[9] Meta Open Source, "React Documentation v19," 2024. [Online]. Available: https://react.dev</w:t>
      </w:r>
    </w:p>
    <w:p>
      <w:pPr>
        <w:spacing w:before="0" w:after="120" w:line="360" w:lineRule="exact"/>
        <w:jc w:val="both"/>
      </w:pPr>
      <w:r>
        <w:rPr>
          <w:rFonts w:ascii="Times New Roman" w:hAnsi="Times New Roman"/>
          <w:b w:val="0"/>
          <w:i w:val="0"/>
          <w:sz w:val="24"/>
        </w:rPr>
        <w:t>[10] S. Deterding, D. Dixon, R. Khaled, and L. Nacke, "From Game Design Elements to Gamefulness: Defining Gamification," in Proc. 15th International Academic MindTrek Conference, 2011, pp. 9-15.</w:t>
      </w:r>
    </w:p>
    <w:sectPr w:rsidR="00FC693F" w:rsidRPr="0006063C" w:rsidSect="00034616">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