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REPORT: INTERNIXA AI-MONITORED E-LEARNING ECOSYSTEM</w:t>
      </w:r>
    </w:p>
    <w:p>
      <w:pPr>
        <w:pStyle w:val="Heading1"/>
      </w:pPr>
      <w:r>
        <w:t>1. Executive Summary</w:t>
      </w:r>
    </w:p>
    <w:p>
      <w:r>
        <w:rPr>
          <w:b/>
        </w:rPr>
        <w:t>INTERNIXA</w:t>
      </w:r>
      <w:r>
        <w:t xml:space="preserve"> is an advanced AI-driven educational platform designed to address the critical gap in remote learning: </w:t>
      </w:r>
      <w:r>
        <w:rPr>
          <w:b/>
        </w:rPr>
        <w:t>Student Accountability</w:t>
      </w:r>
      <w:r>
        <w:t>. Unlike traditional Learning Management Systems (LMS), INTERNIXA utilizes real-time Computer Vision and Generative AI to ensure that students are not only present but actively engaged with the course material.</w:t>
      </w:r>
    </w:p>
    <w:p>
      <w:r>
        <w:rPr>
          <w:b/>
        </w:rPr>
        <w:t>__________________________________________________________________</w:t>
      </w:r>
    </w:p>
    <w:p>
      <w:pPr>
        <w:pStyle w:val="Heading1"/>
      </w:pPr>
      <w:r>
        <w:t>2. System Architecture</w:t>
      </w:r>
    </w:p>
    <w:p>
      <w:r>
        <w:t>The platform follows a modern decoupled architecture:</w:t>
      </w:r>
    </w:p>
    <w:p>
      <w:pPr>
        <w:pStyle w:val="ListBullet"/>
      </w:pPr>
      <w:r>
        <w:t>**Frontend:** React 19 (Vite) + TailwindCSS for a responsive, glassmorphism UI.</w:t>
      </w:r>
    </w:p>
    <w:p>
      <w:pPr>
        <w:pStyle w:val="ListBullet"/>
      </w:pPr>
      <w:r>
        <w:t>**AI Monitoring:** MediaPipe Face Mesh (Client-side) for low-latency gaze and attention tracking.</w:t>
      </w:r>
    </w:p>
    <w:p>
      <w:pPr>
        <w:pStyle w:val="ListBullet"/>
      </w:pPr>
      <w:r>
        <w:t>**Backend:** FastAPI (Python 3.10) for high-performance asynchronous operations.</w:t>
      </w:r>
    </w:p>
    <w:p>
      <w:pPr>
        <w:pStyle w:val="ListBullet"/>
      </w:pPr>
      <w:r>
        <w:t>**Knowledge Engine:** RAG (Retrieval-Augmented Generation) using Pinecone Vector DB and Gemini/Groq LLMs.</w:t>
      </w:r>
    </w:p>
    <w:p>
      <w:pPr>
        <w:pStyle w:val="ListBullet"/>
      </w:pPr>
      <w:r>
        <w:t>**Database:** MongoDB for persistence of user progress, enrollments, and analytics.</w:t>
      </w:r>
    </w:p>
    <w:p>
      <w:r>
        <w:rPr>
          <w:b/>
        </w:rPr>
        <w:t>__________________________________________________________________</w:t>
      </w:r>
    </w:p>
    <w:p>
      <w:pPr>
        <w:pStyle w:val="Heading1"/>
      </w:pPr>
      <w:r>
        <w:t>3. Mathematical Foundations of AI Monitoring</w:t>
      </w:r>
    </w:p>
    <w:p>
      <w:pPr>
        <w:pStyle w:val="Heading2"/>
      </w:pPr>
      <w:r>
        <w:t>3.1 Face Landmark Detection</w:t>
      </w:r>
    </w:p>
    <w:p>
      <w:r>
        <w:t xml:space="preserve">The system uses the </w:t>
      </w:r>
      <w:r>
        <w:rPr>
          <w:b/>
        </w:rPr>
        <w:t>MediaPipe Face Mesh</w:t>
      </w:r>
      <w:r>
        <w:t xml:space="preserve"> model, which estimates 468 3D facial landmarks. The model uses a deep learning architecture based on a sub-millisecond neural network.</w:t>
      </w:r>
    </w:p>
    <w:p>
      <w:r>
        <w:t xml:space="preserve">The landmarks are represented as a set of points </w:t>
      </w:r>
      <w:r>
        <w:rPr>
          <w:rFonts w:ascii="Consolas" w:hAnsi="Consolas"/>
          <w:i/>
        </w:rPr>
        <w:t>P = \{p_1, p_2, ..., p_{468}\}</w:t>
      </w:r>
      <w:r>
        <w:t xml:space="preserve">, where each </w:t>
      </w:r>
      <w:r>
        <w:rPr>
          <w:rFonts w:ascii="Consolas" w:hAnsi="Consolas"/>
          <w:i/>
        </w:rPr>
        <w:t>p_i = (x, y, z)</w:t>
      </w:r>
      <w:r>
        <w:t>.</w:t>
      </w:r>
    </w:p>
    <w:p>
      <w:pPr>
        <w:pStyle w:val="Heading2"/>
      </w:pPr>
      <w:r>
        <w:t>3.2 Eye Aspect Ratio (EAR) for Drowsiness Detection</w:t>
      </w:r>
    </w:p>
    <w:p>
      <w:r>
        <w:t xml:space="preserve">To detect if a student has closed their eyes for an extended period (drowsiness), we calculate the </w:t>
      </w:r>
      <w:r>
        <w:rPr>
          <w:b/>
        </w:rPr>
        <w:t>Eye Aspect Ratio (EAR)</w:t>
      </w:r>
      <w:r>
        <w:t>.</w:t>
      </w:r>
    </w:p>
    <w:p>
      <w:r>
        <w:t xml:space="preserve">For each eye, we select 6 specific landmarks. Let </w:t>
      </w:r>
      <w:r>
        <w:rPr>
          <w:rFonts w:ascii="Consolas" w:hAnsi="Consolas"/>
          <w:i/>
        </w:rPr>
        <w:t>p_1, ..., p_6</w:t>
      </w:r>
      <w:r>
        <w:t xml:space="preserve"> be the landmarks around the eye.</w:t>
      </w:r>
    </w:p>
    <w:p>
      <w:r>
        <w:t>The EAR is calculated as:</w:t>
      </w:r>
    </w:p>
    <w:p>
      <w:pPr>
        <w:jc w:val="center"/>
      </w:pPr>
      <w:r>
        <w:rPr>
          <w:rFonts w:ascii="Consolas" w:hAnsi="Consolas"/>
          <w:i/>
          <w:sz w:val="22"/>
        </w:rPr>
        <w:t>EAR = \frac{||p_2 - p_6|| + ||p_3 - p_5||}{2 ||p_1 - p_4||}</w:t>
      </w:r>
    </w:p>
    <w:p>
      <w:r>
        <w:t>Where:</w:t>
      </w:r>
    </w:p>
    <w:p>
      <w:pPr>
        <w:pStyle w:val="ListBullet"/>
      </w:pPr>
      <w:r>
        <w:t>$||p_i - p_j||$ is the Euclidean distance between points $i$ and $j$.</w:t>
      </w:r>
    </w:p>
    <w:p>
      <w:pPr>
        <w:pStyle w:val="ListBullet"/>
      </w:pPr>
      <w:r>
        <w:t>The numerator represents the vertical distance between eyelids.</w:t>
      </w:r>
    </w:p>
    <w:p>
      <w:pPr>
        <w:pStyle w:val="ListBullet"/>
      </w:pPr>
      <w:r>
        <w:t>The denominator represents the horizontal length of the eye.</w:t>
      </w:r>
    </w:p>
    <w:p>
      <w:r>
        <w:rPr>
          <w:b/>
        </w:rPr>
        <w:t>Decision Logic:</w:t>
      </w:r>
    </w:p>
    <w:p>
      <w:r>
        <w:t xml:space="preserve">If </w:t>
      </w:r>
      <w:r>
        <w:rPr>
          <w:rFonts w:ascii="Consolas" w:hAnsi="Consolas"/>
          <w:i/>
        </w:rPr>
        <w:t>EAR &lt; \text{Threshold}</w:t>
      </w:r>
      <w:r>
        <w:t xml:space="preserve"> (typically 0.22) for more than </w:t>
      </w:r>
      <w:r>
        <w:rPr>
          <w:rFonts w:ascii="Consolas" w:hAnsi="Consolas"/>
          <w:i/>
        </w:rPr>
        <w:t>N</w:t>
      </w:r>
      <w:r>
        <w:t xml:space="preserve"> frames, the system triggers a "Drowsiness Alert."</w:t>
      </w:r>
    </w:p>
    <w:p>
      <w:pPr>
        <w:pStyle w:val="Heading2"/>
      </w:pPr>
      <w:r>
        <w:t>3.3 Attention &amp; Gaze Tracking (Geometric Projection)</w:t>
      </w:r>
    </w:p>
    <w:p>
      <w:r>
        <w:t>The platform determines if the user is "Looking Forward" by calculating the displacement of the nose tip relative to the midpoint of the eyes.</w:t>
      </w:r>
    </w:p>
    <w:p>
      <w:r>
        <w:t>Let:</w:t>
      </w:r>
    </w:p>
    <w:p>
      <w:pPr>
        <w:pStyle w:val="ListBullet"/>
      </w:pPr>
      <w:r>
        <w:t>$L = (x_l, y_l)$ be the Left Eye center.</w:t>
      </w:r>
    </w:p>
    <w:p>
      <w:pPr>
        <w:pStyle w:val="ListBullet"/>
      </w:pPr>
      <w:r>
        <w:t>$R = (x_r, y_r)$ be the Right Eye center.</w:t>
      </w:r>
    </w:p>
    <w:p>
      <w:pPr>
        <w:pStyle w:val="ListBullet"/>
      </w:pPr>
      <w:r>
        <w:t>$N = (x_n, y_n)$ be the Nose Tip.</w:t>
      </w:r>
    </w:p>
    <w:p>
      <w:r>
        <w:t xml:space="preserve">The midpoint between eyes </w:t>
      </w:r>
      <w:r>
        <w:rPr>
          <w:rFonts w:ascii="Consolas" w:hAnsi="Consolas"/>
          <w:i/>
        </w:rPr>
        <w:t>M</w:t>
      </w:r>
      <w:r>
        <w:t xml:space="preserve"> is:</w:t>
      </w:r>
    </w:p>
    <w:p>
      <w:pPr>
        <w:jc w:val="center"/>
      </w:pPr>
      <w:r>
        <w:rPr>
          <w:rFonts w:ascii="Consolas" w:hAnsi="Consolas"/>
          <w:i/>
          <w:sz w:val="22"/>
        </w:rPr>
        <w:t>M_x = \frac{x_l + x_r}{2}</w:t>
      </w:r>
    </w:p>
    <w:p>
      <w:r>
        <w:t xml:space="preserve">The Horizontal Deviation </w:t>
      </w:r>
      <w:r>
        <w:rPr>
          <w:rFonts w:ascii="Consolas" w:hAnsi="Consolas"/>
          <w:i/>
        </w:rPr>
        <w:t>\Delta H</w:t>
      </w:r>
      <w:r>
        <w:t xml:space="preserve"> is:</w:t>
      </w:r>
    </w:p>
    <w:p>
      <w:pPr>
        <w:jc w:val="center"/>
      </w:pPr>
      <w:r>
        <w:rPr>
          <w:rFonts w:ascii="Consolas" w:hAnsi="Consolas"/>
          <w:i/>
          <w:sz w:val="22"/>
        </w:rPr>
        <w:t>\Delta H = |x_n - M_x|</w:t>
      </w:r>
    </w:p>
    <w:p>
      <w:r>
        <w:t xml:space="preserve">The user is considered </w:t>
      </w:r>
      <w:r>
        <w:rPr>
          <w:b/>
        </w:rPr>
        <w:t>Focused</w:t>
      </w:r>
      <w:r>
        <w:t xml:space="preserve"> if:</w:t>
      </w:r>
    </w:p>
    <w:p>
      <w:pPr>
        <w:jc w:val="center"/>
      </w:pPr>
      <w:r>
        <w:rPr>
          <w:rFonts w:ascii="Consolas" w:hAnsi="Consolas"/>
          <w:i/>
          <w:sz w:val="22"/>
        </w:rPr>
        <w:t>\Delta H \leq 0.35 \times |x_r - x_l|</w:t>
      </w:r>
    </w:p>
    <w:p>
      <w:r>
        <w:t>This normalized threshold ensures that the sensitivity remains constant regardless of the user's distance from the camera.</w:t>
      </w:r>
    </w:p>
    <w:p>
      <w:r>
        <w:rPr>
          <w:b/>
        </w:rPr>
        <w:t>__________________________________________________________________</w:t>
      </w:r>
    </w:p>
    <w:p>
      <w:pPr>
        <w:pStyle w:val="Heading1"/>
      </w:pPr>
      <w:r>
        <w:t>4. Generative AI &amp; RAG Ecosystem</w:t>
      </w:r>
    </w:p>
    <w:p>
      <w:pPr>
        <w:pStyle w:val="Heading2"/>
      </w:pPr>
      <w:r>
        <w:t>4.1 Embedding Space &amp; Vector Search</w:t>
      </w:r>
    </w:p>
    <w:p>
      <w:r>
        <w:t xml:space="preserve">The ChatBot uses </w:t>
      </w:r>
      <w:r>
        <w:rPr>
          <w:b/>
        </w:rPr>
        <w:t>Retrieval-Augmented Generation (RAG)</w:t>
      </w:r>
      <w:r>
        <w:t xml:space="preserve"> to provide answers strictly restricted to course content.</w:t>
      </w:r>
    </w:p>
    <w:p>
      <w:pPr>
        <w:pStyle w:val="ListNumber"/>
      </w:pPr>
      <w:r>
        <w:t>**Text Chunking:** Course transcripts are broken into chunks $C_i$.</w:t>
      </w:r>
    </w:p>
    <w:p>
      <w:pPr>
        <w:pStyle w:val="ListNumber"/>
      </w:pPr>
      <w:r>
        <w:t>**Embedding Generation:** Each chunk is converted into a high-dimensional vector $V_i$ using **Gemini Embedding-001**.</w:t>
      </w:r>
    </w:p>
    <w:p>
      <w:pPr>
        <w:jc w:val="center"/>
      </w:pPr>
      <w:r>
        <w:rPr>
          <w:rFonts w:ascii="Consolas" w:hAnsi="Consolas"/>
          <w:i/>
          <w:sz w:val="22"/>
        </w:rPr>
        <w:t>V = f_{\text{gemini}}(\text{Text})</w:t>
      </w:r>
    </w:p>
    <w:p>
      <w:pPr>
        <w:pStyle w:val="ListNumber"/>
      </w:pPr>
      <w:r>
        <w:t>**Similarity Search:** When a user asks a query $Q$, its vector $V_Q$ is compared against all $V_i$ using **Cosine Similarity**:</w:t>
      </w:r>
    </w:p>
    <w:p>
      <w:pPr>
        <w:jc w:val="center"/>
      </w:pPr>
      <w:r>
        <w:rPr>
          <w:rFonts w:ascii="Consolas" w:hAnsi="Consolas"/>
          <w:i/>
          <w:sz w:val="22"/>
        </w:rPr>
        <w:t>\text{similarity}(V_Q, V_i) = \frac{V_Q \cdot V_i}{||V_Q|| \, ||V_i||}</w:t>
      </w:r>
    </w:p>
    <w:p>
      <w:pPr>
        <w:pStyle w:val="Heading2"/>
      </w:pPr>
      <w:r>
        <w:t>4.2 Large Language Model (LLM) Reasoning</w:t>
      </w:r>
    </w:p>
    <w:p>
      <w:r>
        <w:t xml:space="preserve">The system utilizes </w:t>
      </w:r>
      <w:r>
        <w:rPr>
          <w:b/>
        </w:rPr>
        <w:t>Llama 3.3 (70B)</w:t>
      </w:r>
      <w:r>
        <w:t xml:space="preserve"> via Groq for high-speed reasoning. The retrieved context is injected into the system prompt:</w:t>
      </w:r>
    </w:p>
    <w:p>
      <w:pPr>
        <w:jc w:val="center"/>
      </w:pPr>
      <w:r>
        <w:rPr>
          <w:rFonts w:ascii="Consolas" w:hAnsi="Consolas"/>
          <w:i/>
          <w:sz w:val="22"/>
        </w:rPr>
        <w:t>\text{Response} = \mathcal{G}(\text{System Prompt} + \text{Retrieved Context} + \text{User Query})</w:t>
      </w:r>
    </w:p>
    <w:p>
      <w:r>
        <w:rPr>
          <w:b/>
        </w:rPr>
        <w:t>__________________________________________________________________</w:t>
      </w:r>
    </w:p>
    <w:p>
      <w:pPr>
        <w:pStyle w:val="Heading1"/>
      </w:pPr>
      <w:r>
        <w:t>5. Security &amp; Integrity Mechanisms</w:t>
      </w:r>
    </w:p>
    <w:p>
      <w:pPr>
        <w:pStyle w:val="Heading2"/>
      </w:pPr>
      <w:r>
        <w:t>5.1 Asymmetric Debouncing</w:t>
      </w:r>
    </w:p>
    <w:p>
      <w:r>
        <w:t>To prevent false negatives (e.g., brief blinks causing a "No Face" alert), the system implements an asymmetric debounce logic:</w:t>
      </w:r>
    </w:p>
    <w:p>
      <w:pPr>
        <w:pStyle w:val="ListBullet"/>
      </w:pPr>
      <w:r>
        <w:t>**Face Found:** Immediate state update ($t \approx 0$ms).</w:t>
      </w:r>
    </w:p>
    <w:p>
      <w:pPr>
        <w:pStyle w:val="ListBullet"/>
      </w:pPr>
      <w:r>
        <w:t>**Face Lost:** Delayed state update ($t = 800$ms).</w:t>
      </w:r>
    </w:p>
    <w:p>
      <w:pPr>
        <w:pStyle w:val="Heading2"/>
      </w:pPr>
      <w:r>
        <w:t>5.2 Integrity Gates (Puzzle Modals)</w:t>
      </w:r>
    </w:p>
    <w:p>
      <w:r>
        <w:t xml:space="preserve">If the user accumulates 3 warnings or leaves the browser tab, the platform triggers a </w:t>
      </w:r>
      <w:r>
        <w:rPr>
          <w:b/>
        </w:rPr>
        <w:t>Security Puzzle</w:t>
      </w:r>
      <w:r>
        <w:t>. This forces human interaction and cognitive engagement before content can be resumed.</w:t>
      </w:r>
    </w:p>
    <w:p>
      <w:r>
        <w:rPr>
          <w:b/>
        </w:rPr>
        <w:t>__________________________________________________________________</w:t>
      </w:r>
    </w:p>
    <w:p>
      <w:pPr>
        <w:pStyle w:val="Heading1"/>
      </w:pPr>
      <w:r>
        <w:t>6. Certification &amp; Analytics Engine</w:t>
      </w:r>
    </w:p>
    <w:p>
      <w:r>
        <w:t xml:space="preserve">Upon completion, the backend calculates the </w:t>
      </w:r>
      <w:r>
        <w:rPr>
          <w:b/>
        </w:rPr>
        <w:t>Final Engagement Score</w:t>
      </w:r>
      <w:r>
        <w:t>:</w:t>
      </w:r>
    </w:p>
    <w:p>
      <w:pPr>
        <w:jc w:val="center"/>
      </w:pPr>
      <w:r>
        <w:rPr>
          <w:rFonts w:ascii="Consolas" w:hAnsi="Consolas"/>
          <w:i/>
          <w:sz w:val="22"/>
        </w:rPr>
        <w:t>ES = \left( \frac{\text{Active Time}}{\text{Total Session Time}} \right) \times 100</w:t>
      </w:r>
    </w:p>
    <w:p>
      <w:r>
        <w:t xml:space="preserve">A certificate is only generated if </w:t>
      </w:r>
      <w:r>
        <w:rPr>
          <w:rFonts w:ascii="Consolas" w:hAnsi="Consolas"/>
          <w:i/>
        </w:rPr>
        <w:t>ES \geq 75\%</w:t>
      </w:r>
      <w:r>
        <w:t xml:space="preserve">. The PDF is dynamically composed using the </w:t>
      </w:r>
      <w:r>
        <w:rPr>
          <w:b/>
        </w:rPr>
        <w:t>ReportLab</w:t>
      </w:r>
      <w:r>
        <w:t xml:space="preserve"> library, embedding a unique UUID and a verified digital seal.</w:t>
      </w:r>
    </w:p>
    <w:p>
      <w:r>
        <w:rPr>
          <w:b/>
        </w:rPr>
        <w:t>__________________________________________________________________</w:t>
      </w:r>
    </w:p>
    <w:p>
      <w:pPr>
        <w:pStyle w:val="Heading1"/>
      </w:pPr>
      <w:r>
        <w:t>7. Conclusion</w:t>
      </w:r>
    </w:p>
    <w:p>
      <w:r>
        <w:t xml:space="preserve">INTERNIXA represents a paradigm shift in E-learning by combining </w:t>
      </w:r>
      <w:r>
        <w:rPr>
          <w:b/>
        </w:rPr>
        <w:t>Computer Vision (MediaPipe)</w:t>
      </w:r>
      <w:r>
        <w:t xml:space="preserve">, </w:t>
      </w:r>
      <w:r>
        <w:rPr>
          <w:b/>
        </w:rPr>
        <w:t>Vector Search (Pinecone)</w:t>
      </w:r>
      <w:r>
        <w:t xml:space="preserve">, and </w:t>
      </w:r>
      <w:r>
        <w:rPr>
          <w:b/>
        </w:rPr>
        <w:t>LLMs (Groq/Gemini)</w:t>
      </w:r>
      <w:r>
        <w:t>. The result is a platform that transforms passive video consumption into a high-accountability, interactive learning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