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087F8C"/>
          <w:sz w:val="18"/>
        </w:rPr>
        <w:t>PROJECT SHOWCASE GUIDE</w:t>
      </w:r>
    </w:p>
    <w:p>
      <w:pPr>
        <w:keepNext/>
        <w:spacing w:before="0" w:after="140"/>
      </w:pPr>
      <w:r>
        <w:rPr>
          <w:rFonts w:ascii="Calibri" w:hAnsi="Calibri"/>
          <w:b/>
          <w:i w:val="0"/>
          <w:color w:val="142B3D"/>
          <w:sz w:val="54"/>
        </w:rPr>
        <w:t>Data Explorer</w:t>
      </w:r>
    </w:p>
    <w:p>
      <w:pPr>
        <w:spacing w:after="240"/>
      </w:pPr>
      <w:r>
        <w:rPr>
          <w:rFonts w:ascii="Calibri" w:hAnsi="Calibri"/>
          <w:b w:val="0"/>
          <w:i w:val="0"/>
          <w:color w:val="5E6C76"/>
          <w:sz w:val="26"/>
        </w:rPr>
        <w:t>A practical demonstration plan for governed enterprise RAG, publishing, and observability</w:t>
      </w:r>
    </w:p>
    <w:p>
      <w:pPr>
        <w:spacing w:after="360"/>
      </w:pPr>
      <w:r>
        <w:rPr>
          <w:rFonts w:ascii="Calibri" w:hAnsi="Calibri"/>
          <w:b w:val="0"/>
          <w:i/>
          <w:color w:val="5E6C76"/>
          <w:sz w:val="19"/>
        </w:rPr>
        <w:t>Prepared from the implemented repository and verified local workflows | 2 September 2026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75F68"/>
                <w:sz w:val="17"/>
              </w:rPr>
              <w:t>PROJECT IN ONE SENTENCE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42D"/>
                <w:sz w:val="22"/>
              </w:rPr>
              <w:t>Data Explorer is a governed enterprise knowledge platform that retrieves only authorized evidence, produces citation-backed answers, applies independent approvals to high-risk actions, and exposes sanitized operational telemetry.</w:t>
            </w:r>
          </w:p>
        </w:tc>
      </w:tr>
    </w:tbl>
    <w:p>
      <w:pPr>
        <w:spacing w:after="20"/>
      </w:pPr>
    </w:p>
    <w:p>
      <w:pPr>
        <w:pStyle w:val="Heading1"/>
      </w:pPr>
      <w:r>
        <w:t>How to present the project</w:t>
      </w:r>
    </w:p>
    <w:p>
      <w:r>
        <w:rPr>
          <w:rFonts w:ascii="Calibri" w:hAnsi="Calibri"/>
          <w:b/>
          <w:i w:val="0"/>
          <w:color w:val="142B3D"/>
          <w:sz w:val="22"/>
        </w:rPr>
        <w:t xml:space="preserve">Lead with the business risk, then prove the controls in the product. </w:t>
      </w:r>
      <w:r>
        <w:rPr>
          <w:rFonts w:ascii="Calibri" w:hAnsi="Calibri"/>
          <w:b w:val="0"/>
          <w:i w:val="0"/>
          <w:color w:val="17242D"/>
          <w:sz w:val="22"/>
        </w:rPr>
        <w:t>Do not begin with a library list. Show that the system prevents unauthorized retrieval, unsupported answers, self-approval, unsafe SQL, and untraceable publishing.</w:t>
      </w:r>
    </w:p>
    <w:p>
      <w:pPr>
        <w:pStyle w:val="Heading2"/>
      </w:pPr>
      <w:r>
        <w:t>90-second opening</w:t>
      </w:r>
    </w:p>
    <w:p>
      <w:pPr>
        <w:ind w:left="259" w:right="259"/>
      </w:pPr>
      <w:r>
        <w:rPr>
          <w:rFonts w:ascii="Calibri" w:hAnsi="Calibri"/>
          <w:b w:val="0"/>
          <w:i/>
          <w:color w:val="17242D"/>
          <w:sz w:val="22"/>
        </w:rPr>
        <w:t>"I built Data Explorer to solve a common enterprise AI problem: a model can answer quickly, but the business still needs authorization, traceability, and safe publishing. The platform combines tenant-aware retrieval, citations, provider policy routing, structured-data approvals, document generation, evaluation, and a separate observability console. The key design choice is that identity and policy stay on the server, evidence is filtered before it reaches the model, and high-risk actions require independent approval."</w:t>
      </w:r>
    </w:p>
    <w:p>
      <w:pPr>
        <w:pStyle w:val="Heading1"/>
      </w:pPr>
      <w:r>
        <w:t>Architecture to explain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40"/>
        <w:gridCol w:w="4320"/>
        <w:gridCol w:w="360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Implemented responsibility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Experience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Streamlit workspace plus separate admin observability UI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Keeps employee actions separate from privileged telemetry.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API and identity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FastAPI, development or JWT authentication, tenant and group context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Identity claims are resolved by the server and are not editable in the workspace.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Retrieval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Chunking, embeddings, dense and sparse ranking, RRF, trust weighting, reranking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Balances semantic matching with exact business terms while preserving ACL filters.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Generation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Ollama, OpenAI, and Anthropic adapters behind a policy router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Provider selection follows classification and deployment policy instead of prompt logic.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Governance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Guardrails, citation checks, redaction, rate and token limits, approval workflows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The system fails closed when evidence, permission, or policy is insufficient.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Operations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Audit events, model traces, Prometheus metrics, Terraform and Cloud Build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Supports production accountability without retaining prompt or response bodies in standard telemetry.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12-minute demonstration runbook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42D"/>
          <w:sz w:val="22"/>
        </w:rPr>
        <w:t>Open the workspace and admin panel. Show that workspace identity is server-derived and that the admin surface is separately authorized.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42D"/>
          <w:sz w:val="22"/>
        </w:rPr>
        <w:t>Knowledge: ingest a short internal policy with a distinctive amount, approver, and schedule. Point out classification, trust tier, version, and allowed groups.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42D"/>
          <w:sz w:val="22"/>
        </w:rPr>
        <w:t>Ask: query the distinctive facts. Show the grounded answer and citation, then explain that access filtering happened before model generation.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42D"/>
          <w:sz w:val="22"/>
        </w:rPr>
        <w:t>Publish: create a DOCX approval request. Use a second reviewer identity, approve it, render it, and show the output hash and source register.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42D"/>
          <w:sz w:val="22"/>
        </w:rPr>
        <w:t>Structured data: explain the propose, independently approve, and execute lifecycle. In local development, show the fail-closed response when no schema or executor is configured.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42D"/>
          <w:sz w:val="22"/>
        </w:rPr>
        <w:t>Evaluate: run two golden questions. Show grounded count, citation count, provider, confidence, and latency rather than relying on anecdotal quality.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42D"/>
          <w:sz w:val="22"/>
        </w:rPr>
        <w:t>Admin: show model traces, policy events, user activity, token totals, estimated cost, and grounding rate. Emphasize that raw prompts and answers are excluded from standard telemetry.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7242D"/>
          <w:sz w:val="22"/>
        </w:rPr>
        <w:t>Close on production architecture: JWT, PostgreSQL, Redis, Qdrant, versioned object storage, private networking, Terraform, monitoring, and immutable deployment images.</w:t>
      </w:r>
    </w:p>
    <w:p>
      <w:pPr>
        <w:pStyle w:val="Heading2"/>
      </w:pPr>
      <w:r>
        <w:t>Suggested demonstration document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75F68"/>
                <w:sz w:val="17"/>
              </w:rPr>
              <w:t>COPY INTO KNOWLEDGE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42D"/>
                <w:sz w:val="22"/>
              </w:rPr>
              <w:t>Regional procurement reviews occur every Tuesday. Purchase requests above AUD 12,750 require approval from the Procurement Director. Approved requests are released in the Friday supplier batch.</w:t>
            </w:r>
          </w:p>
        </w:tc>
      </w:tr>
    </w:tbl>
    <w:p>
      <w:pPr>
        <w:spacing w:after="20"/>
      </w:pPr>
    </w:p>
    <w:p>
      <w:pPr>
        <w:pStyle w:val="Heading2"/>
      </w:pPr>
      <w:r>
        <w:t>Questions to ask during the demo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What purchase amount requires Procurement Director approval?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When are approved purchase requests released?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Who can retrieve this policy if its allowed group is finance?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What should the system return when the caller has no authorized evidence?</w:t>
      </w:r>
    </w:p>
    <w:p>
      <w:pPr>
        <w:pStyle w:val="Heading1"/>
      </w:pPr>
      <w:r>
        <w:t>What to point out in each workflow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40"/>
        <w:gridCol w:w="3600"/>
        <w:gridCol w:w="43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Workflow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Show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Explain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Ask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Citation-backed answers, retrieval confidence, refusal when evidence is insufficient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Grounding is a product contract, not a prompt suggestion.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Knowledge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Tenant, groups, classification, trust tier, version, checksum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Governance metadata travels with every chunk.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Publish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Typed ArtifactSpec, independent decision, source IDs, SHA-256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The model cannot publish directly.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Structured data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Schema policy, SQL AST validation, approver separation, read-only execution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Generated SQL is treated as untrusted input.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Evaluate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Golden questions, grounding, citations, confidence, provider, latency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Quality is measured before release.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Admin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Sanitized traces, audit events, users, tokens, cost, latency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Observability supports accountability without storing business content.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Technical depth to have ready</w:t>
      </w:r>
    </w:p>
    <w:p>
      <w:pPr>
        <w:pStyle w:val="Heading2"/>
      </w:pPr>
      <w:r>
        <w:t>Retrieval and answer quality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Dense similarity handles semantic matches; sparse BM25-style scoring preserves exact terms and identifiers.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Reciprocal-rank fusion combines rankings; trust weighting favors authoritative content; lexical or FlashRank reranking refines final evidence.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Expired sources and unauthorized chunks are removed before scoring and before model context assembly.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Grounded responses require citations. If evidence is missing or confidence is too low, the service returns a calibrated limitation.</w:t>
      </w:r>
    </w:p>
    <w:p>
      <w:pPr>
        <w:pStyle w:val="Heading2"/>
      </w:pPr>
      <w:r>
        <w:t>Security and governance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Tenant and group authorization is enforced at ingestion, retrieval, SQL, artifacts, and observability boundaries.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High-confidence prompt-injection patterns are blocked in both documents and questions.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Provider routing considers classification; confidential content cannot silently fall back to an ineligible external provider.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SQL is parsed with SQLGlot and limited to one bounded SELECT over allowlisted tables, columns, and functions.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Publishing and SQL decisions require a different authorized user from the requester.</w:t>
      </w:r>
    </w:p>
    <w:p>
      <w:pPr>
        <w:pStyle w:val="Heading2"/>
      </w:pPr>
      <w:r>
        <w:t>Production readiness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Development defaults use memory and local Ollama for a low-friction vertical slice.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Production refuses to start without JWT, PostgreSQL, Redis, Qdrant, and governed artifact storage configuration.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Terraform provisions private networking, Cloud Run services and jobs, Artifact Registry, Cloud SQL, Memorystore, KMS, Secret Manager, monitoring, and budgets.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Cloud Build produces immutable commit-tagged images; automated tests cover APIs, retrieval, policies, artifacts, observability, and UI rendering.</w:t>
      </w:r>
    </w:p>
    <w:p>
      <w:pPr>
        <w:pStyle w:val="Heading1"/>
      </w:pPr>
      <w:r>
        <w:t>Known limitations to state confidently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Current limitation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to explain it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42B3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Production path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Structured data is not configured in the default local server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The UI deliberately returns 403 instead of inventing a schema or executing arbitrary SQL.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Provide approved SchemaPolicy objects and a PostgreSQL read-only executor.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In-memory state is process-local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It is suitable for tests and local demos, not durable production operation.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Use PostgreSQL repositories, Redis policies, and Qdrant vectors.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PPTX rendering requires an external Node toolchain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The API exposes the workflow but checks dependency reality before rendering.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Provide the governed artifact runtime paths in deployment configuration.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LLM quality varies by model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The system measures grounding and citations and can route providers by policy.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42D"/>
                <w:sz w:val="19"/>
              </w:rPr>
              <w:t>Maintain domain golden sets and approved model catalogs.</w:t>
            </w:r>
          </w:p>
        </w:tc>
      </w:tr>
    </w:tbl>
    <w:p>
      <w:pPr>
        <w:spacing w:after="20"/>
      </w:pPr>
    </w:p>
    <w:p>
      <w:pPr>
        <w:pStyle w:val="Heading1"/>
      </w:pPr>
      <w:r>
        <w:t>Final showcase checklist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Workspace and admin URLs load without console errors.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A uniquely identifiable document indexes successfully.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The answer quotes the correct facts and includes at least one citation.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An unauthorized identity receives no evidence.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The artifact requester cannot self-approve; a second user can approve and render.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The rendered output exists and its SHA-256 matches the API response.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Structured data fails closed until a schema and executor are configured.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7242D"/>
          <w:sz w:val="22"/>
        </w:rPr>
        <w:t>Evaluation results and sanitized telemetry appear in the admin panel.</w:t>
      </w:r>
    </w:p>
    <w:p>
      <w:pPr>
        <w:pStyle w:val="Heading2"/>
      </w:pPr>
      <w:r>
        <w:t>Close in one sentence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75F68"/>
                <w:sz w:val="17"/>
              </w:rPr>
              <w:t>CLOSING LINE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42D"/>
                <w:sz w:val="22"/>
              </w:rPr>
              <w:t>The project demonstrates that enterprise AI is not only answer generation; it is authorization, evidence, approval, measurable quality, and operational accountability working as one system.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E6C7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E6C76"/>
        <w:sz w:val="17"/>
      </w:rPr>
      <w:t>DATA EXPLORER | PROJECT SHOWCASE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5F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5F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42B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Explorer Project Showcase Guide</dc:title>
  <dc:subject>Demonstration guide for the Data Explorer enterprise RAG project</dc:subject>
  <dc:creator>Data Explorer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