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CareFrame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Business Rule Table</w:t>
      </w:r>
    </w:p>
    <w:p>
      <w:pPr>
        <w:jc w:val="center"/>
      </w:pPr>
      <w:r>
        <w:rPr>
          <w:rFonts w:ascii="Times New Roman" w:hAnsi="Times New Roman"/>
          <w:sz w:val="22"/>
        </w:rPr>
        <w:t>Software Requirements Specification — Section 5.5</w:t>
      </w:r>
    </w:p>
    <w:p/>
    <w:p>
      <w:r>
        <w:rPr>
          <w:b/>
        </w:rPr>
        <w:t xml:space="preserve">Purpose: </w:t>
      </w:r>
      <w:r>
        <w:t>This table defines the operating principles and access rules that govern CareFrame. These rules support the functional and security requirements of the digital health record management system.</w:t>
      </w:r>
    </w:p>
    <w:p>
      <w:pPr>
        <w:pStyle w:val="Heading1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Rule ID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Rule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Business Rule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Applicable To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Role-Based Access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Patients, doctors, and administrators shall have different privileges.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/ Doctor / Administrator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Doctor-Patient Access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 doctor shall access a patient's protected health records only when the required doctor-patient access relationship is active.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BR-03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Access Revocation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 patient shall be able to revoke doctor access where the system permits; after revocation, the doctor shall not receive subsequent unauthorized access to the patient's records.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/ 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BR-04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Record Ownership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Patients shall be able to view and manage their personal health information according to their permissions.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BR-05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Medical History Preservation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Clinically relevant historical information shall not be silently overwritten or removed.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/ 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BR-06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Original Report Preservation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Original uploaded medical reports shall remain available as source evidence for extracted or structured information.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/ 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BR-07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Source Traceability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Information extracted from reports shall retain a reference to its originating document or source record.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BR-08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Conflict Handling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Conflicting medical information shall be flagged for human review rather than silently resolved by the system.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 / 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BR-09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Trend Analysis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Health trends shall be identified only when observations are sufficiently comparable in measurement and context.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BR-10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Clinical Summary Access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Only an authorized doctor shall be able to request an AI-assisted clinical summary for a patient.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Evidence Requirement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clinical summaries should include source or evidence references so that the doctor can verify important information.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 / 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Clinician Review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AI-generated clinical summaries shall require clinician review before being used for clinical decision-making.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BR-13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Safety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The AI shall not autonomously diagnose, prescribe medication, change medication, or make treatment decisions.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/ 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BR-14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Conflict Resolution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The AI shall not silently resolve conflicting patient records; conflicts shall remain visible for review.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AI / Doctor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BR-15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 AI Summary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Patient-facing AI summaries shall use plain language and shall not provide autonomous treatment recommendations.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BR-16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Failed Processing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Failed or incomplete report extraction shall not be presented as confirmed structured medical information.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BR-17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Authentication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Protected system functions and patient information shall require authentication.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All Users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BR-18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Server-Side Authorization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Access permissions shall be enforced by the backend and shall not rely only on frontend role checks.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System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BR-19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Auditability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Significant authentication, access, document-processing, and AI-summary events shall be recorded in audit logs.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System / Administrator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BR-20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Synthetic Demonstration Data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Development and academic demonstrations should use synthetic patient data rather than real patient information.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Times New Roman" w:hAnsi="Times New Roman"/>
                <w:sz w:val="18"/>
              </w:rPr>
              <w:t>Project Team</w:t>
            </w:r>
          </w:p>
        </w:tc>
      </w:tr>
    </w:tbl>
    <w:p/>
    <w:p>
      <w:r>
        <w:rPr>
          <w:b/>
        </w:rPr>
        <w:t xml:space="preserve">Note: </w:t>
      </w:r>
      <w:r>
        <w:t>These business rules are intended to complement Section 5.5 of the CareFrame SRS and are derived from the project's defined access, medical-record, report-processing, AI-safety, and audit requirements.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