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§9 INTEGRITY GUARDRAILS ACTIVE:</w:t>
      </w:r>
      <w:r>
        <w:t xml:space="preserve"> GBI Township &amp; LCCF are </w:t>
      </w:r>
      <w:r>
        <w:rPr>
          <w:u w:val="single"/>
        </w:rPr>
        <w:t>voluntary</w:t>
      </w:r>
      <w:r>
        <w:t xml:space="preserve">; GP024 is a </w:t>
      </w:r>
      <w:r>
        <w:rPr>
          <w:u w:val="single"/>
        </w:rPr>
        <w:t>planning guideline</w:t>
      </w:r>
      <w:r>
        <w:t xml:space="preserve"> (not statute); Residential code = </w:t>
      </w:r>
      <w:r>
        <w:rPr>
          <w:u w:val="single"/>
        </w:rPr>
        <w:t>MS 2680</w:t>
      </w:r>
      <w:r>
        <w:t xml:space="preserve"> (never MS 1525); Smart City = </w:t>
      </w:r>
      <w:r>
        <w:rPr>
          <w:u w:val="single"/>
        </w:rPr>
        <w:t>MS ISO 37122:2021</w:t>
      </w:r>
      <w:r>
        <w:t xml:space="preserve">; LCCF surface = </w:t>
      </w:r>
      <w:r>
        <w:rPr>
          <w:u w:val="single"/>
        </w:rPr>
        <w:t>SRI ≥ 29</w:t>
      </w:r>
      <w:r>
        <w:t>. No affiliation with Sime Darby Property, GBI, MGTC or PLANMalaysia.</w:t>
      </w:r>
    </w:p>
    <w:p>
      <w:r>
        <w:t>PROXY</w:t>
      </w:r>
      <w:r>
        <w:t>MEASURED</w:t>
      </w:r>
      <w:r>
        <w:t>MODELLED</w:t>
      </w:r>
      <w:r>
        <w:t>ASSUMED</w:t>
      </w:r>
    </w:p>
    <w:p>
      <w:pPr>
        <w:pStyle w:val="Heading1"/>
      </w:pPr>
      <w:r>
        <w:t xml:space="preserve">TEDUH </w:t>
      </w:r>
      <w:r>
        <w:t>VERIFICATION LAYER PROTOTYPE</w:t>
      </w:r>
      <w:r/>
    </w:p>
    <w:p>
      <w:r>
        <w:t>Every township promises shade. None of them can prove it. — Precinct Ara Simulated Pilot (Not Field Data per §9.10)</w:t>
      </w:r>
    </w:p>
    <w:p>
      <w:r>
        <w:t>Weeks 1–2: Baseline Audit</w:t>
      </w:r>
    </w:p>
    <w:p>
      <w:r>
        <w:t>Weeks 9–12: Post-Retrofit Verification</w:t>
      </w:r>
    </w:p>
    <w:p>
      <w:r>
        <w:t>Reset Sliders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&lt;!-- 12-Week Pilot Interactive Workflow Stepper (§6)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&lt;div class="stepper"&gt;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class="step-box active-step" id="step1" onclick="setPilotPhase('baseline')"&gt;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class="wk"&gt;STEP 1 &amp;middot; WEEKS 1&amp;ndash;2&lt;/div&gt;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class="st-title"&gt;Baseline Ground-Truth&lt;/div&gt;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class="st-desc"&gt;20 shade-pts (8am/1pm/5pm) + 4&amp;ndash;6pm foot traffic + 30 IR roof checks.&lt;/div&gt;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class="step-box" id="step2" onclick="setPilotPhase('baseline')"&gt;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class="wk"&gt;STEP 2 &amp;middot; WEEK 2&lt;/div&gt;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class="st-title"&gt;Diagnose &amp;amp; Flag Gaps&lt;/div&gt;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class="st-desc"&gt;Flag segments where |Proxy &amp;minus; Measured| &amp;gt; 15 as PROXY_UNRELIABLE.&lt;/div&gt;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class="step-box" id="step3" onclick="setPilotPhase('verified')"&gt;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class="wk"&gt;STEP 3 &amp;middot; WEEKS 3&amp;ndash;8&lt;/div&gt;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class="st-title"&gt;Surgical Intervention&lt;/div&gt;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class="st-desc"&gt;Reallocate existing maintenance budget to worst 200m + 1 show-unit roof test.&lt;/div&gt;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class="step-box" id="step4" onclick="setPilotPhase('verified')"&gt;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class="wk"&gt;STEP 4 &amp;middot; WEEKS 9&amp;ndash;12&lt;/div&gt;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class="st-title"&gt;Re-Measure &amp;amp; Publish Ledger&lt;/div&gt;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class="st-desc"&gt;Re-audit identical points &amp;amp; publish delta — including where proxies failed.&lt;/div&gt;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&lt;!-- Top KPI Strip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&lt;div class="kpi-strip"&gt;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class="kpi-card"&gt;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&lt;span&gt;Usable Outdoor Hours / Day&lt;/span&gt;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 class="prov prov-measured"&gt;MEASURED (SIM)&lt;/span&gt;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class="val" id="kpiUsableHours"&gt;6.5 hrs&lt;/div&gt;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class="sub" id="kpiUsableSub"&gt;Thermal exile: 5.5 hrs lost on selected route&lt;/div&gt;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class="kpi-card"&gt;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&lt;span&gt;Route-km Walkable at 4:00 PM&lt;/span&gt;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 class="prov prov-measured"&gt;MEASURED (SIM)&lt;/span&gt;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class="val" id="kpiWalkablePct"&gt;33.3%&lt;/div&gt;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class="sub" id="kpiWalkableSub"&gt;2 of 6 segments &amp;le; 28.0&amp;deg;C WBGT threshold&lt;/div&gt;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class="kpi-card"&gt;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&lt;span&gt;Segments Flagged PROXY_UNRELIABLE&lt;/span&gt;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 class="prov prov-proxy"&gt;|GAP| &amp;gt; 15&lt;/span&gt;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class="val" id="kpiFlagCount" style="color:var(--red);"&gt;5 / 6&lt;/div&gt;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class="sub" id="kpiFlagSub"&gt;4 over-promised by proxy, 1 under-credited&lt;/div&gt;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class="kpi-card"&gt;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&lt;span&gt;Household Cooling Saved (p10&amp;ndash;p90)&lt;/span&gt;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 class="prov prov-modelled"&gt;MODELLED (MC)&lt;/span&gt;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class="val" id="kpiMoneyRange" style="color:var(--green);"&gt;RM 86&amp;ndash;192/yr&lt;/div&gt;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class="sub" id="kpiMoneySub"&gt;p50: RM 134/hh/yr @ 45.4 sen/kWh (RP4)&lt;/div&gt;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&lt;!-- Main Two-Column Workspace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&lt;div class="workspace"&gt;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Left Column: Precinct Map + Comfort &amp; Shade Ledger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class="card-header"&gt;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class="card-title"&gt;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1. Comfort &amp;amp; Shade Ledger (Layer 1 Design Proxy vs. Layer 2 Ground Truth)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 style="font-size:11.5px; color:var(--muted);"&gt;Click any route on map or row in table to inspect&lt;/span&gt;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Interactive SVG Schematic Map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class="map-box"&gt;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style="display:flex; justify-content:space-between; font-size:11px; color:var(--muted); margin-bottom:6px; flex-wrap:wrap; gap:6px;"&gt;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&lt;span&gt;&lt;strong&gt;PRECINCT ARA WALKING NETWORK (1.12 km Audited)&lt;/strong&gt; &amp;mdash; Click segment to simulate&lt;/span&gt;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style="color:#ef4444;"&gt;&amp;#9644; PROXY_UNRELIABLE (Over-promised)&lt;/span&gt; &amp;nbsp;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style="color:#fbbf24;"&gt;&amp;#9644; Under-credited&lt;/span&gt; &amp;nbsp;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style="color:#10b981;"&gt;&amp;#9644; VERIFIED_ALIGNED&lt;/span&gt;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&lt;svg class="route-map" viewBox="0 0 760 205" id="precinctSvg"&gt;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&lt;line x1="0" y1="50" x2="760" y2="50" stroke="#182432" stroke-dasharray="4"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&lt;line x1="0" y1="105" x2="760" y2="105" stroke="#182432" stroke-dasharray="4"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&lt;line x1="0" y1="160" x2="760" y2="160" stroke="#182432" stroke-dasharray="4"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&lt;!-- Destination Landmarks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&lt;text x="35" y="32" fill="#64748b" font-size="10" font-family="sans-serif"&gt;PRIMARY SCHOOL&lt;/text&gt;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&lt;text x="215" y="32" fill="#64748b" font-size="10" font-family="sans-serif"&gt;SURAU &amp;amp; CLINIC HUB&lt;/text&gt;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&lt;text x="610" y="32" fill="#64748b" font-size="10" font-family="sans-serif"&gt;PHASE 2A SHOW ROW&lt;/text&gt;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&lt;text x="235" y="190" fill="#64748b" font-size="10" font-family="sans-serif"&gt;SHOP ROW&lt;/text&gt;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&lt;text x="480" y="190" fill="#64748b" font-size="10" font-family="sans-serif"&gt;LINEAR PARK&lt;/text&gt;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&lt;g id="svgSegments"&gt;&lt;/g&gt;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&lt;g id="svgNodes"&gt;&lt;/g&gt;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&lt;/svg&gt;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Ledger Table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style="overflow-x:auto;"&gt;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&lt;table class="ledger-table"&gt;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&lt;th&gt;Segment &amp;amp; Route&lt;/th&gt;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&lt;th&gt;Design Proxy Claim (Layer 1)&lt;/th&gt;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&lt;th&gt;Ground-Truth Check (Layer 2)&lt;/th&gt;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&lt;th&gt;Proxy&lt;/th&gt;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&lt;th&gt;Measured&lt;/th&gt;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&lt;th&gt;Gap&lt;/th&gt;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&lt;th&gt;Audit Verdict&lt;/th&gt;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&lt;/tr&gt;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&lt;/thead&gt;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&lt;tbody id="ledgerBody"&gt;&lt;/tbody&gt;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&lt;/table&gt;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Diurnal Thermal Exile Clock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style="margin-top:16px; padding-top:12px; border-top:1px solid var(--border);"&gt;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style="display:flex; justify-content:space-between; align-items:center; flex-wrap:wrap; gap:8px;"&gt;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style="font-size:12.5px; font-weight:700;"&gt;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Diurnal Thermal Exile Clock (07:00 &amp;ndash; 21:00) &amp;mdash; &lt;span id="clockSegName" style="color:var(--accent);"&gt;&lt;/span&gt;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style="font-size:11.5px; color:var(--muted);"&gt;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Walkability Limit: &lt;strong id="clockThreshLabel"&gt;28.0&amp;deg;C WBGT&lt;/strong&gt; &lt;span class="prov prov-assumed"&gt;ASSUMED&lt;/span&gt;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class="diurnal-grid" id="diurnalGrid"&gt;&lt;/div&gt;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Right Column: Field WBGT Inspector &amp; Monte Carlo Engine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style="display:flex; flex-direction:column; gap:18px;"&gt;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Segment WBGT Field Simulator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class="card-header"&gt;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class="card-title"&gt;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2. Ground-Truth WBGT Field Simulator (ISO 7243 + Stull 2011)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class="prov prov-measured"&gt;4:00 PM FIELD CHECK&lt;/span&gt;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style="font-size:12px; color:var(--muted); margin-bottom:10px;" id="inspectorDesc"&gt;&lt;/div&gt;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&lt;span&gt;Dry-Bulb Air Temp (T&lt;sub&gt;a&lt;/sub&gt;) &lt;span class="prov prov-measured"&gt;MEASURED&lt;/span&gt;&lt;/span&gt;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id="valTa"&gt;33.8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id="slideTa" min="27.0" max="38.0" step="0.1" value="33.8" oninput="updateSegmentFromSliders()"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&lt;span&gt;Relative Humidity (RH) &lt;span class="prov prov-measured"&gt;MEASURED&lt;/span&gt;&lt;/span&gt;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id="valRH"&gt;68 %&lt;/span&gt;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id="slideRH" min="45" max="90" step="1" value="68" oninput="updateSegmentFromSliders()"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&lt;span&gt;Black Globe Temp (T&lt;sub&gt;g&lt;/sub&gt; &amp;mdash; Solar Radiant Load) &lt;span class="prov prov-measured"&gt;MEASURED&lt;/span&gt;&lt;/span&gt;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id="valTg"&gt;44.2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id="slideTg" min="29.0" max="52.0" step="0.2" value="44.2" oninput="updateSegmentFromSliders()"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&lt;span&gt;Measured Footpath Shade Continuity (1pm/5pm) &lt;span class="prov prov-measured"&gt;MEASURED&lt;/span&gt;&lt;/span&gt;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id="valShade"&gt;14 %&lt;/span&gt;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id="slideShade" min="0" max="100" step="1" value="14" oninput="updateSegmentFromSliders()"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 style="padding-top:8px; border-top:1px dashed var(--border);"&gt;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&lt;span&gt;Configurable Walkability WBGT Threshold &lt;span class="prov prov-assumed"&gt;ASSUMED&lt;/span&gt;&lt;/span&gt;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id="valThresh"&gt;28.0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id="slideThresh" min="26.0" max="30.5" step="0.1" value="28.0" oninput="updateThreshold(this.value)"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class="wbgt-box"&gt;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class="wbgt-cell"&gt;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class="t-label"&gt;Wet-Bulb (T&lt;sub&gt;nw&lt;/sub&gt; Stull)&lt;/div&gt;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class="t-val" id="outTnw"&gt;28.3 &amp;deg;C&lt;/div&gt;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class="wbgt-cell"&gt;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class="t-label"&gt;Outdoor WBGT (4pm)&lt;/div&gt;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class="t-val" id="outWbgt" style="color:var(--red);"&gt;30.6 &amp;deg;C&lt;/div&gt;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class="wbgt-cell"&gt;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class="t-label"&gt;Measured Score / Gap&lt;/div&gt;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class="t-val" id="outScoreGap"&gt;31 (Gap +51)&lt;/div&gt;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class="formula-note"&gt;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ISO 7243 Outdoor: WBGT = 0.7&amp;middot;Tnw + 0.2&amp;middot;Tg + 0.1&amp;middot;Ta &amp;nbsp;|&amp;nbsp; Rule: |Proxy &amp;minus; Measured| &amp;gt; 15 &amp;rarr; PROXY_UNRELIABLE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Seeded Monte Carlo Household Energy &amp; Tariff Simulator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class="card-header"&gt;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class="card-title"&gt;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3. Seeded Monte Carlo Energy &amp;amp; Tariff Engine (10,000 Draws)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class="prov prov-modelled"&gt;P10 / P50 / P90 RANGE (§9.7)&lt;/span&gt;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&lt;span&gt;Peninsular Malaysia Tariff (&amp;tau;&lt;sub&gt;eff&lt;/sub&gt;, RP4 base = 45.4 sen) &lt;span class="prov prov-measured"&gt;VERIFIED&lt;/span&gt;&lt;/span&gt;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id="valTariff"&gt;45.4 sen/kWh&lt;/span&gt;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id="slideTariff" min="35.0" max="58.0" step="0.2" value="45.4" oninput="runMonteCarlo()"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&lt;span&gt;Cooling Savings Coefficient (0.06/&amp;deg;C, sensitivity 0.03&amp;ndash;0.09) &lt;span class="prov prov-assumed"&gt;ASSUMED&lt;/span&gt;&lt;/span&gt;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id="valCoeff"&gt;0.060 /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id="slideCoeff" min="0.030" max="0.090" step="0.005" value="0.060" oninput="runMonteCarlo()"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&lt;span&gt;Mode Cooling &amp;Delta;T (Canopy + Cool Roof Intervention) &lt;span class="prov prov-modelled"&gt;MODELLED&lt;/span&gt;&lt;/span&gt;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id="valDeltaT"&gt;1.4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id="slideDeltaT" min="0.5" max="2.5" step="0.1" value="1.4" oninput="runMonteCarlo()"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class="slider-group"&gt;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class="slider-label"&gt;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&lt;span&gt;Township Scale (Households for Aggregation) &lt;span class="prov prov-assumed"&gt;ASSUMED&lt;/span&gt;&lt;/span&gt;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class="val-mono" id="valHomes"&gt;5,000 homes&lt;/span&gt;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&lt;input type="range" id="slideHomes" min="1000" max="10000" step="500" value="5000" oninput="runMonteCarlo()"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class="mc-grid"&gt;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class="mc-box"&gt;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class="pct"&gt;p10 (Conservative)&lt;/div&gt;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class="rm" id="mcP10"&gt;RM 86/yr&lt;/div&gt;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class="twp" id="mcTwp10"&gt;RM 0.43M twp/yr&lt;/div&gt;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class="mc-box" style="border-color:var(--green);"&gt;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class="pct"&gt;p50 (Median)&lt;/div&gt;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class="rm" id="mcP50"&gt;RM 134/yr&lt;/div&gt;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class="twp" id="mcTwp50"&gt;RM 0.67M twp/yr&lt;/div&gt;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class="mc-box"&gt;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class="pct"&gt;p90 (Upper Bound)&lt;/div&gt;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class="rm" id="mcP90"&gt;RM 192/yr&lt;/div&gt;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class="twp" id="mcTwp90"&gt;RM 0.96M twp/yr&lt;/div&gt;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Live 10,000-Draw Distribution Histogram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style="font-size:10.5px; color:var(--muted); margin-bottom:4px; display:flex; justify-content:space-between;"&gt;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&lt;span&gt;10,000-Draw Probability Distribution (RM / household / yr)&lt;/span&gt;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id="mcKwhLabel" style="font-family:var(--mono);"&gt;&lt;/span&gt;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class="hist-bars" id="mcHistogram"&gt;&lt;/div&gt;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class="formula-note"&gt;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kWh_saved = E_cool_base &amp;times; clamp(c_&amp;Delta;T &amp;times; &amp;Delta;T, 0, 0.30) &amp;times; 12 &amp;nbsp;|&amp;nbsp; Never quoted as a single point (§9.7)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&lt;!-- Bottom Card: Stakeholder Decision Views (§5) &amp; Open Questions (§15)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&lt;div class="card"&gt;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class="card-header"&gt;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class="card-title"&gt;4. Stakeholder Output Views (§5) &amp;amp; What Only Field Work Can Answer (§15)&lt;/div&gt;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&lt;span class="prov prov-measured"&gt;DECISION ARTEFACT&lt;/span&gt;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class="tab-row"&gt;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class="tab-btn active" onclick="selectStakeholder('resident', this)"&gt;Resident Household (Primary User)&lt;/button&gt;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class="tab-btn" onclick="selectStakeholder('developer', this)"&gt;Developer Township Team (Economic Buyer)&lt;/button&gt;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class="tab-btn" onclick="selectStakeholder('pbt', this)"&gt;Local Authority / PBT (GP024 Gatekeeper)&lt;/button&gt;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class="tab-btn" onclick="selectStakeholder('contractor', this)"&gt;Landscape &amp;amp; Maintenance Contractor (Operator)&lt;/button&gt;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class="tab-btn" onclick="selectStakeholder('openquestions', this)"&gt;§15 Open Field Questions &amp;amp; §9 Audit&lt;/button&gt;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class="stakeholder-panel" id="stakeholderContent"&gt;&lt;/div&gt;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&lt;/div&gt;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6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pPr>
      <w:spacing w:before="0" w:after="0" w:line="240" w:lineRule="auto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Gemini Enterprise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