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7126A">
      <w:pPr>
        <w:spacing w:after="0" w:line="276"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BB8E759" w:rsidR="00695F52" w:rsidRPr="00A844CB" w:rsidRDefault="00FE4BB1"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[16]</w:t>
            </w:r>
            <w:r>
              <w:rPr>
                <w:rFonts w:ascii="Times New Roman" w:hAnsi="Times New Roman" w:cs="Times New Roman"/>
                <w:sz w:val="24"/>
                <w:szCs w:val="24"/>
              </w:rPr>
              <w:fldChar w:fldCharType="end"/>
            </w:r>
          </w:p>
        </w:tc>
      </w:tr>
      <w:tr w:rsidR="0078421E" w:rsidRPr="00A844CB" w14:paraId="128DC7CA" w14:textId="77777777" w:rsidTr="00666C17">
        <w:tc>
          <w:tcPr>
            <w:tcW w:w="1260"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3745DC">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lastRenderedPageBreak/>
              <w:t>Google scholar</w:t>
            </w:r>
          </w:p>
        </w:tc>
        <w:tc>
          <w:tcPr>
            <w:tcW w:w="1628"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AB1414">
      <w:pPr>
        <w:spacing w:before="240" w:line="276"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7126A">
      <w:pPr>
        <w:pStyle w:val="Caption"/>
        <w:spacing w:line="276"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lastRenderedPageBreak/>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AD98257" w14:textId="1F16DDED" w:rsidR="0067126A" w:rsidRPr="0067126A" w:rsidRDefault="0067126A" w:rsidP="0067126A">
      <w:pPr>
        <w:spacing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w:t>
      </w:r>
      <w:r w:rsidRPr="0067126A">
        <w:rPr>
          <w:rFonts w:ascii="Times New Roman" w:hAnsi="Times New Roman" w:cs="Times New Roman"/>
          <w:sz w:val="24"/>
          <w:szCs w:val="24"/>
        </w:rPr>
        <w:lastRenderedPageBreak/>
        <w:t xml:space="preserve">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7126A">
      <w:pPr>
        <w:spacing w:line="276"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lastRenderedPageBreak/>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16 bit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(Non Hair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xml:space="preserve">, CP4, P1,dan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FF6FA9">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4C074F3A" w:rsid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09080352" w:rsidR="00F50019" w:rsidRPr="00F50019" w:rsidRDefault="00F50019" w:rsidP="00F50019">
      <w:pPr>
        <w:spacing w:line="276"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6494C44F" w:rsidR="00F50019" w:rsidRPr="00F50019" w:rsidRDefault="00F50019" w:rsidP="00F50019">
      <w:pPr>
        <w:spacing w:line="276"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2D307E92" w:rsidR="00F50019" w:rsidRDefault="00F50019" w:rsidP="00F50019">
      <w:pPr>
        <w:spacing w:line="276"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lastRenderedPageBreak/>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CF5334E" w:rsidR="00F628AA" w:rsidRPr="00A844CB" w:rsidRDefault="00F628AA" w:rsidP="00463309">
      <w:pPr>
        <w:spacing w:line="276"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63309">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[1]</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4EE1F58E" w:rsidR="003D060D" w:rsidRPr="00A844CB"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550F7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[3]","manualFormatting":"[2][3]","plainTextFormattedCitation":"[2], [3]","previouslyFormattedCitation":"[2], [3]"},"properties":{"noteIndex":0},"schema":"https://github.com/citation-style-language/schema/raw/master/csl-citation.json"}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354CB684" w:rsidR="00421F6A"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C442AC">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020799">
        <w:rPr>
          <w:rFonts w:ascii="Times New Roman" w:hAnsi="Times New Roman" w:cs="Times New Roman"/>
          <w:sz w:val="24"/>
          <w:szCs w:val="24"/>
        </w:rPr>
        <w:fldChar w:fldCharType="separate"/>
      </w:r>
      <w:r w:rsidR="00020799" w:rsidRPr="00020799">
        <w:rPr>
          <w:rFonts w:ascii="Times New Roman" w:hAnsi="Times New Roman" w:cs="Times New Roman"/>
          <w:noProof/>
          <w:sz w:val="24"/>
          <w:szCs w:val="24"/>
        </w:rPr>
        <w:t>[7]</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38660A">
        <w:rPr>
          <w:rFonts w:ascii="Times New Roman" w:hAnsi="Times New Roman" w:cs="Times New Roman"/>
          <w:sz w:val="24"/>
          <w:szCs w:val="24"/>
        </w:rPr>
        <w:fldChar w:fldCharType="separate"/>
      </w:r>
      <w:r w:rsidR="0038660A" w:rsidRPr="0038660A">
        <w:rPr>
          <w:rFonts w:ascii="Times New Roman" w:hAnsi="Times New Roman" w:cs="Times New Roman"/>
          <w:noProof/>
          <w:sz w:val="24"/>
          <w:szCs w:val="24"/>
        </w:rPr>
        <w:t>[8]</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38660A">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[3]","manualFormatting":"[3]","plainTextFormattedCitation":"[2], [3]","previouslyFormattedCitation":"[2], [3]"},"properties":{"noteIndex":0},"schema":"https://github.com/citation-style-language/schema/raw/master/csl-citation.json"}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731D28A" w:rsidR="00AC0517" w:rsidRDefault="00AC0517" w:rsidP="00463309">
      <w:pPr>
        <w:spacing w:line="276"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w:t>
      </w:r>
      <w:r w:rsidRPr="00AC0517">
        <w:rPr>
          <w:rFonts w:ascii="Times New Roman" w:hAnsi="Times New Roman" w:cs="Times New Roman"/>
          <w:sz w:val="24"/>
          <w:szCs w:val="24"/>
        </w:rPr>
        <w:lastRenderedPageBreak/>
        <w:t xml:space="preserve">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[4]</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77777777" w:rsidR="00020799" w:rsidRPr="00A844CB" w:rsidRDefault="00020799" w:rsidP="0002079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A3D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0533E48" w:rsidR="00826793" w:rsidRDefault="00826793"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[5]</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56906F3C" w:rsidR="0037460B" w:rsidRDefault="0037460B"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C442AC">
        <w:rPr>
          <w:rFonts w:ascii="Times New Roman" w:hAnsi="Times New Roman" w:cs="Times New Roman"/>
          <w:sz w:val="24"/>
          <w:szCs w:val="24"/>
        </w:rPr>
        <w:fldChar w:fldCharType="separate"/>
      </w:r>
      <w:r w:rsidR="00C442AC" w:rsidRPr="00C442AC">
        <w:rPr>
          <w:rFonts w:ascii="Times New Roman" w:hAnsi="Times New Roman" w:cs="Times New Roman"/>
          <w:noProof/>
          <w:sz w:val="24"/>
          <w:szCs w:val="24"/>
        </w:rPr>
        <w:t>[11]</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[6]</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C611504" w:rsidR="00782E80" w:rsidRDefault="00170638"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lastRenderedPageBreak/>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7E8CA35B" w:rsidR="00EB2F26" w:rsidRDefault="00EB2F26" w:rsidP="00463309">
      <w:pPr>
        <w:spacing w:line="276"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[10]</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77777777" w:rsidR="008F2364" w:rsidRDefault="008F2364" w:rsidP="008F2364">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867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1A1607B7" w:rsidR="00EB2F26" w:rsidRP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[11]</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0586323" w:rsid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[12]</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EA756A2" w:rsidR="0078421E" w:rsidRDefault="0078421E" w:rsidP="00463309">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02079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[13]</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66E50B3F" w:rsidR="00F50019" w:rsidRPr="00F50019" w:rsidRDefault="00F50019" w:rsidP="00F50019">
      <w:pPr>
        <w:spacing w:line="276"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lastRenderedPageBreak/>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5B2C94A3" w:rsidR="00F50019" w:rsidRPr="00F50019" w:rsidRDefault="00F50019" w:rsidP="00F50019">
      <w:pPr>
        <w:spacing w:line="276"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28CF4B60" w:rsidR="00F50019" w:rsidRDefault="00F50019" w:rsidP="00F50019">
      <w:pPr>
        <w:spacing w:line="276"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bookmarkEnd w:id="0"/>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28121C42" w:rsidR="003D060D" w:rsidRPr="00A844CB" w:rsidRDefault="003D060D" w:rsidP="00692D14">
      <w:pPr>
        <w:spacing w:line="276"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[1]</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3B50BA3D" w:rsidR="003D060D" w:rsidRPr="00A844CB" w:rsidRDefault="003D060D" w:rsidP="00692D14">
      <w:pPr>
        <w:spacing w:line="276"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[2]","plainTextFormattedCitation":"[2]","previouslyFormattedCitation":"[2]"},"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[2]</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3EE4BC4C" w:rsidR="003D060D" w:rsidRDefault="004D44DB" w:rsidP="00692D14">
      <w:pPr>
        <w:spacing w:line="276"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[3]</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0E310277" w:rsidR="00AC0517" w:rsidRDefault="00AC0517" w:rsidP="00692D14">
      <w:pPr>
        <w:spacing w:line="276"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11C1FFB3" w:rsidR="003E0BA8" w:rsidRDefault="00466F1C"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0BD46844" w:rsidR="00782E80" w:rsidRDefault="00F935E1" w:rsidP="00692D14">
      <w:pPr>
        <w:spacing w:line="276"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7981F716" w:rsidR="00782E80" w:rsidRDefault="00CD6203" w:rsidP="00692D14">
      <w:pPr>
        <w:spacing w:line="276"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246AC509" w:rsidR="00782E80" w:rsidRDefault="00782E80"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[8]</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777779CC" w:rsidR="00603DE9" w:rsidRPr="00782E80" w:rsidRDefault="00603DE9"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[7]</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0E6A6857" w:rsidR="00490CC2" w:rsidRPr="00490CC2" w:rsidRDefault="00490CC2" w:rsidP="00692D14">
      <w:pPr>
        <w:spacing w:line="276"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001E2CEA" w:rsidR="0078421E" w:rsidRPr="00490CC2" w:rsidRDefault="0078421E" w:rsidP="00692D14">
      <w:pPr>
        <w:spacing w:line="276"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[11]</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598C0C6" w:rsidR="00490CC2" w:rsidRDefault="0078421E" w:rsidP="00692D14">
      <w:pPr>
        <w:spacing w:line="276"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[12]</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6C6BAC72" w:rsidR="0078421E" w:rsidRDefault="0078421E" w:rsidP="00692D14">
      <w:pPr>
        <w:spacing w:line="276"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lastRenderedPageBreak/>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F5001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5B4892A9" w:rsidR="00F50019" w:rsidRPr="00F50019" w:rsidRDefault="00F50019" w:rsidP="00F50019">
      <w:pPr>
        <w:spacing w:line="276"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57EA0AC1" w:rsidR="00F50019" w:rsidRPr="00F50019" w:rsidRDefault="00F50019" w:rsidP="00F50019">
      <w:pPr>
        <w:spacing w:line="276"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35B983A" w:rsidR="00F50019" w:rsidRPr="00AB0FF0" w:rsidRDefault="00F50019" w:rsidP="00F50019">
      <w:pPr>
        <w:spacing w:line="276"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54D41338" w14:textId="2432943C" w:rsidR="00FA4CD4" w:rsidRPr="00FA4CD4" w:rsidRDefault="00F324B6"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FA4CD4" w:rsidRPr="00FA4CD4">
        <w:rPr>
          <w:rFonts w:ascii="Times New Roman" w:hAnsi="Times New Roman" w:cs="Times New Roman"/>
          <w:noProof/>
          <w:sz w:val="24"/>
          <w:szCs w:val="24"/>
        </w:rPr>
        <w:t>[1]</w:t>
      </w:r>
      <w:r w:rsidR="00FA4CD4" w:rsidRPr="00FA4CD4">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FA4CD4" w:rsidRPr="00FA4CD4">
        <w:rPr>
          <w:rFonts w:ascii="Times New Roman" w:hAnsi="Times New Roman" w:cs="Times New Roman"/>
          <w:i/>
          <w:iCs/>
          <w:noProof/>
          <w:sz w:val="24"/>
          <w:szCs w:val="24"/>
        </w:rPr>
        <w:t>Future Generation Computer Systems</w:t>
      </w:r>
      <w:r w:rsidR="00FA4CD4" w:rsidRPr="00FA4CD4">
        <w:rPr>
          <w:rFonts w:ascii="Times New Roman" w:hAnsi="Times New Roman" w:cs="Times New Roman"/>
          <w:noProof/>
          <w:sz w:val="24"/>
          <w:szCs w:val="24"/>
        </w:rPr>
        <w:t>, vol. 101, pp. 542–554, 2019, doi: 10.1016/j.future.2019.06.027.</w:t>
      </w:r>
    </w:p>
    <w:p w14:paraId="66F2385D"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[2]</w:t>
      </w:r>
      <w:r w:rsidRPr="00FA4CD4">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FA4CD4">
        <w:rPr>
          <w:rFonts w:ascii="Times New Roman" w:hAnsi="Times New Roman" w:cs="Times New Roman"/>
          <w:i/>
          <w:iCs/>
          <w:noProof/>
          <w:sz w:val="24"/>
          <w:szCs w:val="24"/>
        </w:rPr>
        <w:t>Biomedical Signal Processing and Control</w:t>
      </w:r>
      <w:r w:rsidRPr="00FA4CD4">
        <w:rPr>
          <w:rFonts w:ascii="Times New Roman" w:hAnsi="Times New Roman" w:cs="Times New Roman"/>
          <w:noProof/>
          <w:sz w:val="24"/>
          <w:szCs w:val="24"/>
        </w:rPr>
        <w:t>, vol. 58, p. 101845, 2020, doi: 10.1016/j.bspc.2020.101845.</w:t>
      </w:r>
    </w:p>
    <w:p w14:paraId="75692CA3"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[3]</w:t>
      </w:r>
      <w:r w:rsidRPr="00FA4CD4">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EE255C9"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[4]</w:t>
      </w:r>
      <w:r w:rsidRPr="00FA4CD4">
        <w:rPr>
          <w:rFonts w:ascii="Times New Roman" w:hAnsi="Times New Roman" w:cs="Times New Roman"/>
          <w:noProof/>
          <w:sz w:val="24"/>
          <w:szCs w:val="24"/>
        </w:rPr>
        <w:tab/>
        <w:t xml:space="preserve">J. Yang, X. Huang, H. Wu, and X. Yang, “EEG-based emotion classification based on Bidirectional Long Short-Term Memory Network,” </w:t>
      </w:r>
      <w:r w:rsidRPr="00FA4CD4">
        <w:rPr>
          <w:rFonts w:ascii="Times New Roman" w:hAnsi="Times New Roman" w:cs="Times New Roman"/>
          <w:i/>
          <w:iCs/>
          <w:noProof/>
          <w:sz w:val="24"/>
          <w:szCs w:val="24"/>
        </w:rPr>
        <w:t>Procedia Computer Science</w:t>
      </w:r>
      <w:r w:rsidRPr="00FA4CD4">
        <w:rPr>
          <w:rFonts w:ascii="Times New Roman" w:hAnsi="Times New Roman" w:cs="Times New Roman"/>
          <w:noProof/>
          <w:sz w:val="24"/>
          <w:szCs w:val="24"/>
        </w:rPr>
        <w:t xml:space="preserve">, vol. </w:t>
      </w:r>
      <w:r w:rsidRPr="00FA4CD4">
        <w:rPr>
          <w:rFonts w:ascii="Times New Roman" w:hAnsi="Times New Roman" w:cs="Times New Roman"/>
          <w:noProof/>
          <w:sz w:val="24"/>
          <w:szCs w:val="24"/>
        </w:rPr>
        <w:lastRenderedPageBreak/>
        <w:t>174, no. 2019, pp. 491–504, 2020, doi: 10.1016/j.procs.2020.06.117.</w:t>
      </w:r>
    </w:p>
    <w:p w14:paraId="2C01E181"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[5]</w:t>
      </w:r>
      <w:r w:rsidRPr="00FA4CD4">
        <w:rPr>
          <w:rFonts w:ascii="Times New Roman" w:hAnsi="Times New Roman" w:cs="Times New Roman"/>
          <w:noProof/>
          <w:sz w:val="24"/>
          <w:szCs w:val="24"/>
        </w:rPr>
        <w:tab/>
        <w:t xml:space="preserve">Z. Oralhan, “A New Paradigm for Region-Based P300 Speller in Brain Computer Interface,”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7, pp. 106618–106627, 2019, doi: 10.1109/ACCESS.2019.2933049.</w:t>
      </w:r>
    </w:p>
    <w:p w14:paraId="5F34D167"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[6]</w:t>
      </w:r>
      <w:r w:rsidRPr="00FA4CD4">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FA4CD4">
        <w:rPr>
          <w:rFonts w:ascii="Times New Roman" w:hAnsi="Times New Roman" w:cs="Times New Roman"/>
          <w:i/>
          <w:iCs/>
          <w:noProof/>
          <w:sz w:val="24"/>
          <w:szCs w:val="24"/>
        </w:rPr>
        <w:t>IEEE Transactions on Neural Systems and Rehabilitation Engineering</w:t>
      </w:r>
      <w:r w:rsidRPr="00FA4CD4">
        <w:rPr>
          <w:rFonts w:ascii="Times New Roman" w:hAnsi="Times New Roman" w:cs="Times New Roman"/>
          <w:noProof/>
          <w:sz w:val="24"/>
          <w:szCs w:val="24"/>
        </w:rPr>
        <w:t>, vol. 26, no. 2, pp. 400–406, 2018, doi: 10.1109/TNSRE.2018.2790359.</w:t>
      </w:r>
    </w:p>
    <w:p w14:paraId="08523776"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[7]</w:t>
      </w:r>
      <w:r w:rsidRPr="00FA4CD4">
        <w:rPr>
          <w:rFonts w:ascii="Times New Roman" w:hAnsi="Times New Roman" w:cs="Times New Roman"/>
          <w:noProof/>
          <w:sz w:val="24"/>
          <w:szCs w:val="24"/>
        </w:rPr>
        <w:tab/>
        <w:t xml:space="preserve">W. Gao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FA4CD4">
        <w:rPr>
          <w:rFonts w:ascii="Times New Roman" w:hAnsi="Times New Roman" w:cs="Times New Roman"/>
          <w:i/>
          <w:iCs/>
          <w:noProof/>
          <w:sz w:val="24"/>
          <w:szCs w:val="24"/>
        </w:rPr>
        <w:t>IEEE Transactions on Neural Systems and Rehabilitation Engineering</w:t>
      </w:r>
      <w:r w:rsidRPr="00FA4CD4">
        <w:rPr>
          <w:rFonts w:ascii="Times New Roman" w:hAnsi="Times New Roman" w:cs="Times New Roman"/>
          <w:noProof/>
          <w:sz w:val="24"/>
          <w:szCs w:val="24"/>
        </w:rPr>
        <w:t>, pp. 1–1, 2021, doi: 10.1109/tnsre.2021.3083548.</w:t>
      </w:r>
    </w:p>
    <w:p w14:paraId="55265194"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[8]</w:t>
      </w:r>
      <w:r w:rsidRPr="00FA4CD4">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9, pp. 49121–49130, 2021, doi: 10.1109/ACCESS.2021.3068929.</w:t>
      </w:r>
    </w:p>
    <w:p w14:paraId="3A147EF2"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[9]</w:t>
      </w:r>
      <w:r w:rsidRPr="00FA4CD4">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8, pp. 5990–5998, 2020, doi: 10.1109/ACCESS.2019.2963442.</w:t>
      </w:r>
    </w:p>
    <w:p w14:paraId="3F56DE22"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[10]</w:t>
      </w:r>
      <w:r w:rsidRPr="00FA4CD4">
        <w:rPr>
          <w:rFonts w:ascii="Times New Roman" w:hAnsi="Times New Roman" w:cs="Times New Roman"/>
          <w:noProof/>
          <w:sz w:val="24"/>
          <w:szCs w:val="24"/>
        </w:rPr>
        <w:tab/>
        <w:t xml:space="preserve">E. Mhmood, “Tikrit Journal of Pure Science,” </w:t>
      </w:r>
      <w:r w:rsidRPr="00FA4CD4">
        <w:rPr>
          <w:rFonts w:ascii="Times New Roman" w:hAnsi="Times New Roman" w:cs="Times New Roman"/>
          <w:i/>
          <w:iCs/>
          <w:noProof/>
          <w:sz w:val="24"/>
          <w:szCs w:val="24"/>
        </w:rPr>
        <w:t>Tikrit Journal of Pure Science</w:t>
      </w:r>
      <w:r w:rsidRPr="00FA4CD4">
        <w:rPr>
          <w:rFonts w:ascii="Times New Roman" w:hAnsi="Times New Roman" w:cs="Times New Roman"/>
          <w:noProof/>
          <w:sz w:val="24"/>
          <w:szCs w:val="24"/>
        </w:rPr>
        <w:t>, vol. 23, no. 9, pp. 1813–1662, 2018, [Online]. Available: http://dx.doi.org/10.25130/tjps.23.2018.141.</w:t>
      </w:r>
    </w:p>
    <w:p w14:paraId="02949E7D"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[11]</w:t>
      </w:r>
      <w:r w:rsidRPr="00FA4CD4">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FA4CD4">
        <w:rPr>
          <w:rFonts w:ascii="Times New Roman" w:hAnsi="Times New Roman" w:cs="Times New Roman"/>
          <w:i/>
          <w:iCs/>
          <w:noProof/>
          <w:sz w:val="24"/>
          <w:szCs w:val="24"/>
        </w:rPr>
        <w:t>Journal of Physiology</w:t>
      </w:r>
      <w:r w:rsidRPr="00FA4CD4">
        <w:rPr>
          <w:rFonts w:ascii="Times New Roman" w:hAnsi="Times New Roman" w:cs="Times New Roman"/>
          <w:noProof/>
          <w:sz w:val="24"/>
          <w:szCs w:val="24"/>
        </w:rPr>
        <w:t>, vol. 599, no. 9, pp. 2435–2451, 2021, doi: 10.1113/JP278118.</w:t>
      </w:r>
    </w:p>
    <w:p w14:paraId="1A90D69D"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[12]</w:t>
      </w:r>
      <w:r w:rsidRPr="00FA4CD4">
        <w:rPr>
          <w:rFonts w:ascii="Times New Roman" w:hAnsi="Times New Roman" w:cs="Times New Roman"/>
          <w:noProof/>
          <w:sz w:val="24"/>
          <w:szCs w:val="24"/>
        </w:rPr>
        <w:tab/>
        <w:t xml:space="preserve">S. Halder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“Neural mechanisms of brain-computer interface control,” </w:t>
      </w:r>
      <w:r w:rsidRPr="00FA4CD4">
        <w:rPr>
          <w:rFonts w:ascii="Times New Roman" w:hAnsi="Times New Roman" w:cs="Times New Roman"/>
          <w:i/>
          <w:iCs/>
          <w:noProof/>
          <w:sz w:val="24"/>
          <w:szCs w:val="24"/>
        </w:rPr>
        <w:t>NeuroImage</w:t>
      </w:r>
      <w:r w:rsidRPr="00FA4CD4">
        <w:rPr>
          <w:rFonts w:ascii="Times New Roman" w:hAnsi="Times New Roman" w:cs="Times New Roman"/>
          <w:noProof/>
          <w:sz w:val="24"/>
          <w:szCs w:val="24"/>
        </w:rPr>
        <w:t>, vol. 55, no. 4, pp. 1779–1790, 2011, doi: 10.1016/j.neuroimage.2011.01.021.</w:t>
      </w:r>
    </w:p>
    <w:p w14:paraId="4185F72A"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[13]</w:t>
      </w:r>
      <w:r w:rsidRPr="00FA4CD4">
        <w:rPr>
          <w:rFonts w:ascii="Times New Roman" w:hAnsi="Times New Roman" w:cs="Times New Roman"/>
          <w:noProof/>
          <w:sz w:val="24"/>
          <w:szCs w:val="24"/>
        </w:rPr>
        <w:tab/>
        <w:t xml:space="preserve">E. Buch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“Think to move: A neuromagnetic brain-computer interface (BCI) system for chronic stroke,” </w:t>
      </w:r>
      <w:r w:rsidRPr="00FA4CD4">
        <w:rPr>
          <w:rFonts w:ascii="Times New Roman" w:hAnsi="Times New Roman" w:cs="Times New Roman"/>
          <w:i/>
          <w:iCs/>
          <w:noProof/>
          <w:sz w:val="24"/>
          <w:szCs w:val="24"/>
        </w:rPr>
        <w:t>Stroke</w:t>
      </w:r>
      <w:r w:rsidRPr="00FA4CD4">
        <w:rPr>
          <w:rFonts w:ascii="Times New Roman" w:hAnsi="Times New Roman" w:cs="Times New Roman"/>
          <w:noProof/>
          <w:sz w:val="24"/>
          <w:szCs w:val="24"/>
        </w:rPr>
        <w:t>, vol. 39, no. 3, pp. 910–917, 2008, doi: 10.1161/STROKEAHA.107.505313.</w:t>
      </w:r>
    </w:p>
    <w:p w14:paraId="4B67E498"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[14]</w:t>
      </w:r>
      <w:r w:rsidRPr="00FA4CD4">
        <w:rPr>
          <w:rFonts w:ascii="Times New Roman" w:hAnsi="Times New Roman" w:cs="Times New Roman"/>
          <w:noProof/>
          <w:sz w:val="24"/>
          <w:szCs w:val="24"/>
        </w:rPr>
        <w:tab/>
        <w:t xml:space="preserve">Z. Yin, L. Liu, J. Chen, B. Zhao, and Y. Wang, “Locally robust EEG feature selection for individual-independent emotion recognition,” </w:t>
      </w:r>
      <w:r w:rsidRPr="00FA4CD4">
        <w:rPr>
          <w:rFonts w:ascii="Times New Roman" w:hAnsi="Times New Roman" w:cs="Times New Roman"/>
          <w:i/>
          <w:iCs/>
          <w:noProof/>
          <w:sz w:val="24"/>
          <w:szCs w:val="24"/>
        </w:rPr>
        <w:t>Expert Systems with Applications</w:t>
      </w:r>
      <w:r w:rsidRPr="00FA4CD4">
        <w:rPr>
          <w:rFonts w:ascii="Times New Roman" w:hAnsi="Times New Roman" w:cs="Times New Roman"/>
          <w:noProof/>
          <w:sz w:val="24"/>
          <w:szCs w:val="24"/>
        </w:rPr>
        <w:t>, vol. 162, p. 113768, 2020, doi: 10.1016/j.eswa.2020.113768.</w:t>
      </w:r>
    </w:p>
    <w:p w14:paraId="6BB968FE"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[15]</w:t>
      </w:r>
      <w:r w:rsidRPr="00FA4CD4">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FA4CD4">
        <w:rPr>
          <w:rFonts w:ascii="Times New Roman" w:hAnsi="Times New Roman" w:cs="Times New Roman"/>
          <w:i/>
          <w:iCs/>
          <w:noProof/>
          <w:sz w:val="24"/>
          <w:szCs w:val="24"/>
        </w:rPr>
        <w:t>Journal of Neuroscience Methods</w:t>
      </w:r>
      <w:r w:rsidRPr="00FA4CD4">
        <w:rPr>
          <w:rFonts w:ascii="Times New Roman" w:hAnsi="Times New Roman" w:cs="Times New Roman"/>
          <w:noProof/>
          <w:sz w:val="24"/>
          <w:szCs w:val="24"/>
        </w:rPr>
        <w:t>, vol. 345, no. July, p. 108886, 2020, doi: 10.1016/j.jneumeth.2020.108886.</w:t>
      </w:r>
    </w:p>
    <w:p w14:paraId="42FDC6F1"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szCs w:val="24"/>
        </w:rPr>
      </w:pPr>
      <w:r w:rsidRPr="00FA4CD4">
        <w:rPr>
          <w:rFonts w:ascii="Times New Roman" w:hAnsi="Times New Roman" w:cs="Times New Roman"/>
          <w:noProof/>
          <w:sz w:val="24"/>
          <w:szCs w:val="24"/>
        </w:rPr>
        <w:t>[16]</w:t>
      </w:r>
      <w:r w:rsidRPr="00FA4CD4">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FA4CD4">
        <w:rPr>
          <w:rFonts w:ascii="Times New Roman" w:hAnsi="Times New Roman" w:cs="Times New Roman"/>
          <w:i/>
          <w:iCs/>
          <w:noProof/>
          <w:sz w:val="24"/>
          <w:szCs w:val="24"/>
        </w:rPr>
        <w:t>Journal of Neuroscience Methods</w:t>
      </w:r>
      <w:r w:rsidRPr="00FA4CD4">
        <w:rPr>
          <w:rFonts w:ascii="Times New Roman" w:hAnsi="Times New Roman" w:cs="Times New Roman"/>
          <w:noProof/>
          <w:sz w:val="24"/>
          <w:szCs w:val="24"/>
        </w:rPr>
        <w:t>, vol. 313, pp. 60–67, 2019, doi: 10.1016/j.jneumeth.2018.12.004.</w:t>
      </w:r>
    </w:p>
    <w:p w14:paraId="1CC5F055" w14:textId="77777777" w:rsidR="00FA4CD4" w:rsidRPr="00FA4CD4" w:rsidRDefault="00FA4CD4" w:rsidP="00FA4CD4">
      <w:pPr>
        <w:widowControl w:val="0"/>
        <w:autoSpaceDE w:val="0"/>
        <w:autoSpaceDN w:val="0"/>
        <w:adjustRightInd w:val="0"/>
        <w:spacing w:line="240" w:lineRule="auto"/>
        <w:ind w:left="640" w:hanging="640"/>
        <w:rPr>
          <w:rFonts w:ascii="Times New Roman" w:hAnsi="Times New Roman" w:cs="Times New Roman"/>
          <w:noProof/>
          <w:sz w:val="24"/>
        </w:rPr>
      </w:pPr>
      <w:r w:rsidRPr="00FA4CD4">
        <w:rPr>
          <w:rFonts w:ascii="Times New Roman" w:hAnsi="Times New Roman" w:cs="Times New Roman"/>
          <w:noProof/>
          <w:sz w:val="24"/>
          <w:szCs w:val="24"/>
        </w:rPr>
        <w:t>[17]</w:t>
      </w:r>
      <w:r w:rsidRPr="00FA4CD4">
        <w:rPr>
          <w:rFonts w:ascii="Times New Roman" w:hAnsi="Times New Roman" w:cs="Times New Roman"/>
          <w:noProof/>
          <w:sz w:val="24"/>
          <w:szCs w:val="24"/>
        </w:rPr>
        <w:tab/>
        <w:t xml:space="preserve">S. U. Amin, M. Alsulaiman, G. Muhammad, M. A. Mekhtiche, and M. Shamim Hossain, “Deep Learning for EEG motor imagery classification based on multi-layer </w:t>
      </w:r>
      <w:r w:rsidRPr="00FA4CD4">
        <w:rPr>
          <w:rFonts w:ascii="Times New Roman" w:hAnsi="Times New Roman" w:cs="Times New Roman"/>
          <w:noProof/>
          <w:sz w:val="24"/>
          <w:szCs w:val="24"/>
        </w:rPr>
        <w:lastRenderedPageBreak/>
        <w:t xml:space="preserve">CNNs feature fusion,” </w:t>
      </w:r>
      <w:r w:rsidRPr="00FA4CD4">
        <w:rPr>
          <w:rFonts w:ascii="Times New Roman" w:hAnsi="Times New Roman" w:cs="Times New Roman"/>
          <w:i/>
          <w:iCs/>
          <w:noProof/>
          <w:sz w:val="24"/>
          <w:szCs w:val="24"/>
        </w:rPr>
        <w:t>Future Generation Computer Systems</w:t>
      </w:r>
      <w:r w:rsidRPr="00FA4CD4">
        <w:rPr>
          <w:rFonts w:ascii="Times New Roman" w:hAnsi="Times New Roman" w:cs="Times New Roman"/>
          <w:noProof/>
          <w:sz w:val="24"/>
          <w:szCs w:val="24"/>
        </w:rPr>
        <w:t>, vol. 101, pp. 542–554, 2019, doi: 10.1016/j.future.2019.06.027.</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547"/>
        <w:gridCol w:w="3118"/>
        <w:gridCol w:w="3351"/>
      </w:tblGrid>
      <w:tr w:rsidR="0051111C" w:rsidRPr="00A844CB" w14:paraId="1BDE8858" w14:textId="77777777" w:rsidTr="00FA4CD4">
        <w:tc>
          <w:tcPr>
            <w:tcW w:w="254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311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FA4CD4">
        <w:tc>
          <w:tcPr>
            <w:tcW w:w="2547" w:type="dxa"/>
          </w:tcPr>
          <w:p w14:paraId="432152A3" w14:textId="52080CE9"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3118" w:type="dxa"/>
          </w:tcPr>
          <w:p w14:paraId="706C19AB" w14:textId="15B66721" w:rsidR="0051111C" w:rsidRPr="00A844CB" w:rsidRDefault="00FB68D3"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E4F64">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Pr>
                <w:rFonts w:ascii="Times New Roman" w:hAnsi="Times New Roman" w:cs="Times New Roman"/>
                <w:b/>
                <w:bCs/>
                <w:sz w:val="24"/>
                <w:szCs w:val="24"/>
              </w:rPr>
              <w:fldChar w:fldCharType="separate"/>
            </w:r>
            <w:r w:rsidRPr="00FB68D3">
              <w:rPr>
                <w:rFonts w:ascii="Times New Roman" w:hAnsi="Times New Roman" w:cs="Times New Roman"/>
                <w:bCs/>
                <w:noProof/>
                <w:sz w:val="24"/>
                <w:szCs w:val="24"/>
              </w:rPr>
              <w:t>[1]</w:t>
            </w:r>
            <w:r>
              <w:rPr>
                <w:rFonts w:ascii="Times New Roman" w:hAnsi="Times New Roman" w:cs="Times New Roman"/>
                <w:b/>
                <w:bCs/>
                <w:sz w:val="24"/>
                <w:szCs w:val="24"/>
              </w:rPr>
              <w:fldChar w:fldCharType="end"/>
            </w:r>
            <w:r w:rsidR="004D44DB" w:rsidRPr="00A844CB">
              <w:rPr>
                <w:rFonts w:ascii="Times New Roman" w:hAnsi="Times New Roman" w:cs="Times New Roman"/>
                <w:b/>
                <w:bCs/>
                <w:sz w:val="24"/>
                <w:szCs w:val="24"/>
              </w:rPr>
              <w:fldChar w:fldCharType="begin" w:fldLock="1"/>
            </w:r>
            <w:r w:rsidR="00F50019">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[17]","manualFormatting":"[2][3]","plainTextFormattedCitation":"[2], [3], [17]","previouslyFormattedCitation":"[2], [3], [17]"},"properties":{"noteIndex":0},"schema":"https://github.com/citation-style-language/schema/raw/master/csl-citation.json"}</w:instrText>
            </w:r>
            <w:r w:rsidR="004D44DB"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[2][3]</w:t>
            </w:r>
            <w:r w:rsidR="004D44DB"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[14]</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[15]</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[16]</w:t>
            </w:r>
            <w:r w:rsidR="00FA4CD4">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FA4CD4">
        <w:tc>
          <w:tcPr>
            <w:tcW w:w="254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3118" w:type="dxa"/>
          </w:tcPr>
          <w:p w14:paraId="44B4E666" w14:textId="0B2F7C7D"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r w:rsidR="000E4F64">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0E4F64">
              <w:rPr>
                <w:rFonts w:ascii="Times New Roman" w:hAnsi="Times New Roman" w:cs="Times New Roman"/>
                <w:b/>
                <w:bCs/>
                <w:sz w:val="24"/>
                <w:szCs w:val="24"/>
              </w:rPr>
              <w:fldChar w:fldCharType="separate"/>
            </w:r>
            <w:r w:rsidR="000E4F64" w:rsidRPr="000E4F64">
              <w:rPr>
                <w:rFonts w:ascii="Times New Roman" w:hAnsi="Times New Roman" w:cs="Times New Roman"/>
                <w:bCs/>
                <w:noProof/>
                <w:sz w:val="24"/>
                <w:szCs w:val="24"/>
              </w:rPr>
              <w:t>[9]</w:t>
            </w:r>
            <w:r w:rsidR="000E4F64">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FA4CD4">
        <w:tc>
          <w:tcPr>
            <w:tcW w:w="254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311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FA4CD4">
        <w:tc>
          <w:tcPr>
            <w:tcW w:w="254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311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D49B" w14:textId="77777777" w:rsidR="004D3859" w:rsidRDefault="004D3859" w:rsidP="004D154B">
      <w:pPr>
        <w:spacing w:after="0" w:line="240" w:lineRule="auto"/>
      </w:pPr>
      <w:r>
        <w:separator/>
      </w:r>
    </w:p>
  </w:endnote>
  <w:endnote w:type="continuationSeparator" w:id="0">
    <w:p w14:paraId="08C11C54" w14:textId="77777777" w:rsidR="004D3859" w:rsidRDefault="004D3859"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4D385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B36F" w14:textId="77777777" w:rsidR="004D3859" w:rsidRDefault="004D3859" w:rsidP="004D154B">
      <w:pPr>
        <w:spacing w:after="0" w:line="240" w:lineRule="auto"/>
      </w:pPr>
      <w:r>
        <w:separator/>
      </w:r>
    </w:p>
  </w:footnote>
  <w:footnote w:type="continuationSeparator" w:id="0">
    <w:p w14:paraId="19840934" w14:textId="77777777" w:rsidR="004D3859" w:rsidRDefault="004D3859"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84180"/>
    <w:rsid w:val="0008614B"/>
    <w:rsid w:val="00096308"/>
    <w:rsid w:val="000B3C83"/>
    <w:rsid w:val="000B4A70"/>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41300C"/>
    <w:rsid w:val="00414627"/>
    <w:rsid w:val="00421F6A"/>
    <w:rsid w:val="00424DF1"/>
    <w:rsid w:val="00433842"/>
    <w:rsid w:val="00436212"/>
    <w:rsid w:val="00436A4F"/>
    <w:rsid w:val="00445ADC"/>
    <w:rsid w:val="00463309"/>
    <w:rsid w:val="00466F1C"/>
    <w:rsid w:val="00486725"/>
    <w:rsid w:val="00490CC2"/>
    <w:rsid w:val="004A25D5"/>
    <w:rsid w:val="004C0F61"/>
    <w:rsid w:val="004C6948"/>
    <w:rsid w:val="004D0442"/>
    <w:rsid w:val="004D154B"/>
    <w:rsid w:val="004D3859"/>
    <w:rsid w:val="004D393D"/>
    <w:rsid w:val="004D44DB"/>
    <w:rsid w:val="004E6B4C"/>
    <w:rsid w:val="004F4B0B"/>
    <w:rsid w:val="004F6E32"/>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41EA3"/>
    <w:rsid w:val="00645108"/>
    <w:rsid w:val="006630BF"/>
    <w:rsid w:val="00666C17"/>
    <w:rsid w:val="00666DBA"/>
    <w:rsid w:val="0067126A"/>
    <w:rsid w:val="00692D14"/>
    <w:rsid w:val="00695F52"/>
    <w:rsid w:val="006A52DF"/>
    <w:rsid w:val="006A65C0"/>
    <w:rsid w:val="006A7AA0"/>
    <w:rsid w:val="006C22B1"/>
    <w:rsid w:val="006C3DCA"/>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B38E3"/>
    <w:rsid w:val="007C4CCE"/>
    <w:rsid w:val="007C7279"/>
    <w:rsid w:val="007F0F4C"/>
    <w:rsid w:val="00820B0E"/>
    <w:rsid w:val="00823615"/>
    <w:rsid w:val="008262F4"/>
    <w:rsid w:val="00826793"/>
    <w:rsid w:val="008404E9"/>
    <w:rsid w:val="00847365"/>
    <w:rsid w:val="0085379D"/>
    <w:rsid w:val="00860DEA"/>
    <w:rsid w:val="00864948"/>
    <w:rsid w:val="0086616B"/>
    <w:rsid w:val="008713AF"/>
    <w:rsid w:val="008747C4"/>
    <w:rsid w:val="0088395C"/>
    <w:rsid w:val="008842E0"/>
    <w:rsid w:val="00884488"/>
    <w:rsid w:val="008905BD"/>
    <w:rsid w:val="008B0A1C"/>
    <w:rsid w:val="008B7BA1"/>
    <w:rsid w:val="008C1E3B"/>
    <w:rsid w:val="008C752E"/>
    <w:rsid w:val="008D32FE"/>
    <w:rsid w:val="008F235D"/>
    <w:rsid w:val="008F2364"/>
    <w:rsid w:val="00903713"/>
    <w:rsid w:val="00904C85"/>
    <w:rsid w:val="00910E16"/>
    <w:rsid w:val="00915479"/>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6BA"/>
    <w:rsid w:val="00BE16FA"/>
    <w:rsid w:val="00BE55CF"/>
    <w:rsid w:val="00C04E5C"/>
    <w:rsid w:val="00C150BF"/>
    <w:rsid w:val="00C153AD"/>
    <w:rsid w:val="00C30EDF"/>
    <w:rsid w:val="00C33EF2"/>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F03AA"/>
    <w:rsid w:val="00DF3E82"/>
    <w:rsid w:val="00E05908"/>
    <w:rsid w:val="00E10352"/>
    <w:rsid w:val="00E33379"/>
    <w:rsid w:val="00E35DD7"/>
    <w:rsid w:val="00E501F1"/>
    <w:rsid w:val="00E844CE"/>
    <w:rsid w:val="00E90917"/>
    <w:rsid w:val="00EB0EBA"/>
    <w:rsid w:val="00EB2F26"/>
    <w:rsid w:val="00EB3580"/>
    <w:rsid w:val="00EC16B3"/>
    <w:rsid w:val="00ED112B"/>
    <w:rsid w:val="00ED21D2"/>
    <w:rsid w:val="00F04E8F"/>
    <w:rsid w:val="00F066AD"/>
    <w:rsid w:val="00F0677B"/>
    <w:rsid w:val="00F14393"/>
    <w:rsid w:val="00F2416E"/>
    <w:rsid w:val="00F324B6"/>
    <w:rsid w:val="00F50019"/>
    <w:rsid w:val="00F628AA"/>
    <w:rsid w:val="00F76E01"/>
    <w:rsid w:val="00F80565"/>
    <w:rsid w:val="00F84783"/>
    <w:rsid w:val="00F935E1"/>
    <w:rsid w:val="00FA3D0B"/>
    <w:rsid w:val="00FA4CD4"/>
    <w:rsid w:val="00FA5D7B"/>
    <w:rsid w:val="00FB110B"/>
    <w:rsid w:val="00FB501D"/>
    <w:rsid w:val="00FB68D3"/>
    <w:rsid w:val="00FB6D5E"/>
    <w:rsid w:val="00FB76D4"/>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18</Pages>
  <Words>47211</Words>
  <Characters>269104</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298</cp:revision>
  <dcterms:created xsi:type="dcterms:W3CDTF">2021-06-14T14:57:00Z</dcterms:created>
  <dcterms:modified xsi:type="dcterms:W3CDTF">2021-06-29T08:28:00Z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