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rPr>
      </w:pPr>
      <w:r>
        <w:rPr>
          <w:rFonts w:hint="default" w:eastAsia="sans-serif" w:cs="sans-serif" w:asciiTheme="majorAscii" w:hAnsiTheme="majorAscii"/>
          <w:i w:val="0"/>
          <w:iCs w:val="0"/>
          <w:caps w:val="0"/>
          <w:color w:val="000000"/>
          <w:spacing w:val="0"/>
          <w:sz w:val="27"/>
          <w:szCs w:val="27"/>
          <w:shd w:val="clear" w:fill="FFFFFF"/>
          <w:vertAlign w:val="baseline"/>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This dataset consist of data From 1985 Ward's Automotive Yearbook. Here are the 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1) 1985 Model Import Car and Truck Specifications, 1985 Ward's Automotive Yearbook.</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2) Personal Auto Manuals, Insurance Services Office, 160 Water Street, New York, NY 10038</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3) Insurance Collision Report, Insurance Institute for Highway Safety, Watergate 600, Washington, DC 20037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rPr>
      </w:pPr>
      <w:r>
        <w:rPr>
          <w:rFonts w:hint="default" w:eastAsia="sans-serif" w:cs="sans-serif" w:asciiTheme="majorAscii" w:hAnsiTheme="majorAscii"/>
          <w:i w:val="0"/>
          <w:iCs w:val="0"/>
          <w:caps w:val="0"/>
          <w:color w:val="000000"/>
          <w:spacing w:val="0"/>
          <w:sz w:val="27"/>
          <w:szCs w:val="27"/>
          <w:shd w:val="clear" w:fill="FFFFFF"/>
          <w:vertAlign w:val="baseline"/>
        </w:rPr>
        <w:t>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This data set consists of three types of entities: (a) the specification of an auto in terms of various characteristics, (b) its assigned insurance risk rating, (c)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Actuarians call this process "symboling". A value of +3 indicates that the auto is risky, -3 that it is probably pretty safe.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The third factor is the relative average loss payment per insured vehicle year. This value is normalized for all autos within a particular size classification (two-door small, station wagons, sports/speciality, etc…), and represents the average loss per car per year.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Note: Several of the attributes in the database could be used as a "class" attribute.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rPr>
      </w:pPr>
      <w:r>
        <w:rPr>
          <w:rFonts w:hint="default" w:eastAsia="sans-serif" w:cs="sans-serif" w:asciiTheme="majorAscii" w:hAnsiTheme="majorAscii"/>
          <w:i w:val="0"/>
          <w:iCs w:val="0"/>
          <w:caps w:val="0"/>
          <w:color w:val="000000"/>
          <w:spacing w:val="0"/>
          <w:sz w:val="27"/>
          <w:szCs w:val="27"/>
          <w:shd w:val="clear" w:fill="FFFFFF"/>
          <w:vertAlign w:val="baseline"/>
        </w:rPr>
        <w:t>Inspiration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0"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Please bring it on whatever inferences you can get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rPr>
      </w:pPr>
      <w:r>
        <w:rPr>
          <w:rFonts w:hint="default" w:eastAsia="sans-serif" w:cs="sans-serif" w:asciiTheme="majorAscii" w:hAnsiTheme="majorAscii"/>
          <w:i w:val="0"/>
          <w:iCs w:val="0"/>
          <w:caps w:val="0"/>
          <w:color w:val="000000"/>
          <w:spacing w:val="0"/>
          <w:sz w:val="27"/>
          <w:szCs w:val="27"/>
          <w:shd w:val="clear" w:fill="FFFFFF"/>
          <w:vertAlign w:val="baseline"/>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Dataset is about cars from back in 85. It's raw and messy.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rPr>
      </w:pPr>
      <w:r>
        <w:rPr>
          <w:rFonts w:hint="default" w:eastAsia="sans-serif" w:cs="sans-serif" w:asciiTheme="majorAscii" w:hAnsiTheme="majorAscii"/>
          <w:i w:val="0"/>
          <w:iCs w:val="0"/>
          <w:caps w:val="0"/>
          <w:color w:val="000000"/>
          <w:spacing w:val="0"/>
          <w:sz w:val="27"/>
          <w:szCs w:val="27"/>
          <w:shd w:val="clear" w:fill="FFFFFF"/>
          <w:vertAlign w:val="baseline"/>
        </w:rPr>
        <w:t>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This data set consists of three types of entities:</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(a) the specification of an auto in terms of various characteristics,</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(b) its assigned insurance risk rating,</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Actuarians call this process "symboling". A value of +3 indicates that the auto is risky, -3 that it is probably pretty safe. The third factor is the relative average loss payment per insured vehicle year. This value is normalized for all autos within a particular size classification (two-door small, station wagons, sports/specialty, etc…), and represents the average loss per car per year.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Note: Several of the attributes in the database could be used as a "class" 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Number of Instances: 205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Number of Attributes: 26 total</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-- 15 continuous</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-- 1 integer</w:t>
      </w:r>
      <w:r>
        <w:rPr>
          <w:rFonts w:hint="default" w:eastAsia="sans-serif" w:cs="sans-serif" w:asciiTheme="majorAscii" w:hAnsiTheme="majorAscii"/>
          <w:i w:val="0"/>
          <w:iCs w:val="0"/>
          <w:caps w:val="0"/>
          <w:spacing w:val="0"/>
          <w:sz w:val="21"/>
          <w:szCs w:val="21"/>
          <w:shd w:val="clear" w:fill="FFFFFF"/>
          <w:vertAlign w:val="baseline"/>
        </w:rPr>
        <w:br w:type="textWrapping"/>
      </w:r>
      <w:r>
        <w:rPr>
          <w:rFonts w:hint="default" w:eastAsia="sans-serif" w:cs="sans-serif" w:asciiTheme="majorAscii" w:hAnsiTheme="majorAscii"/>
          <w:i w:val="0"/>
          <w:iCs w:val="0"/>
          <w:caps w:val="0"/>
          <w:spacing w:val="0"/>
          <w:sz w:val="21"/>
          <w:szCs w:val="21"/>
          <w:shd w:val="clear" w:fill="FFFFFF"/>
          <w:vertAlign w:val="baseline"/>
        </w:rPr>
        <w:t>-- 10 nominal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eastAsia="sans-serif" w:cs="sans-serif" w:asciiTheme="majorAscii" w:hAnsiTheme="majorAscii"/>
          <w:i w:val="0"/>
          <w:iCs w:val="0"/>
          <w:caps w:val="0"/>
          <w:color w:val="000000"/>
          <w:spacing w:val="0"/>
          <w:sz w:val="27"/>
          <w:szCs w:val="27"/>
        </w:rPr>
      </w:pPr>
      <w:r>
        <w:rPr>
          <w:rFonts w:hint="default" w:eastAsia="sans-serif" w:cs="sans-serif" w:asciiTheme="majorAscii" w:hAnsiTheme="majorAscii"/>
          <w:i w:val="0"/>
          <w:iCs w:val="0"/>
          <w:caps w:val="0"/>
          <w:color w:val="000000"/>
          <w:spacing w:val="0"/>
          <w:sz w:val="27"/>
          <w:szCs w:val="27"/>
          <w:shd w:val="clear" w:fill="FFFFFF"/>
          <w:vertAlign w:val="baseline"/>
        </w:rPr>
        <w:t>Attribute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eastAsia="sans-serif" w:cs="sans-serif" w:asciiTheme="majorAscii" w:hAnsiTheme="majorAscii"/>
          <w:i w:val="0"/>
          <w:iCs w:val="0"/>
          <w:caps w:val="0"/>
          <w:spacing w:val="0"/>
          <w:sz w:val="21"/>
          <w:szCs w:val="21"/>
        </w:rPr>
      </w:pPr>
      <w:r>
        <w:rPr>
          <w:rFonts w:hint="default" w:eastAsia="sans-serif" w:cs="sans-serif" w:asciiTheme="majorAscii" w:hAnsiTheme="majorAscii"/>
          <w:i w:val="0"/>
          <w:iCs w:val="0"/>
          <w:caps w:val="0"/>
          <w:spacing w:val="0"/>
          <w:sz w:val="21"/>
          <w:szCs w:val="21"/>
          <w:shd w:val="clear" w:fill="FFFFFF"/>
          <w:vertAlign w:val="baseline"/>
        </w:rPr>
        <w:t>| Attribute | Attribute Range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asciiTheme="majorAscii" w:hAnsiTheme="majorAscii"/>
        </w:rPr>
      </w:pPr>
      <w:r>
        <w:rPr>
          <w:rFonts w:hint="default" w:eastAsia="sans-serif" w:cs="sans-serif" w:asciiTheme="majorAscii" w:hAnsiTheme="majorAscii"/>
          <w:i w:val="0"/>
          <w:iCs w:val="0"/>
          <w:caps w:val="0"/>
          <w:spacing w:val="0"/>
          <w:sz w:val="21"/>
          <w:szCs w:val="21"/>
          <w:shd w:val="clear" w:fill="FFFFFF"/>
          <w:vertAlign w:val="baseline"/>
        </w:rPr>
        <w:t>symboling: -3, -2, -1, 0, 1, 2,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asciiTheme="majorAscii" w:hAnsiTheme="majorAscii"/>
        </w:rPr>
      </w:pPr>
      <w:r>
        <w:rPr>
          <w:rFonts w:hint="default" w:eastAsia="sans-serif" w:cs="sans-serif" w:asciiTheme="majorAscii" w:hAnsiTheme="majorAscii"/>
          <w:i w:val="0"/>
          <w:iCs w:val="0"/>
          <w:caps w:val="0"/>
          <w:spacing w:val="0"/>
          <w:sz w:val="21"/>
          <w:szCs w:val="21"/>
          <w:shd w:val="clear" w:fill="FFFFFF"/>
          <w:vertAlign w:val="baseline"/>
        </w:rPr>
        <w:t>normalized-losses: continuous from 65 to 256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asciiTheme="majorAscii" w:hAnsiTheme="majorAscii"/>
        </w:rPr>
      </w:pPr>
      <w:r>
        <w:rPr>
          <w:rFonts w:hint="default" w:eastAsia="sans-serif" w:cs="sans-serif" w:asciiTheme="majorAscii" w:hAnsiTheme="majorAscii"/>
          <w:i w:val="0"/>
          <w:iCs w:val="0"/>
          <w:caps w:val="0"/>
          <w:spacing w:val="0"/>
          <w:sz w:val="21"/>
          <w:szCs w:val="21"/>
          <w:shd w:val="clear" w:fill="FFFFFF"/>
          <w:vertAlign w:val="baseline"/>
        </w:rPr>
        <w:t>make: alfa-romero, audi, bmw, chevrolet, dodge, honda, isuzu, jaguar, mazda, mercedes-benz, mercury, mitsubishi, nissan, peugot, plymouth, porsche, renault, saab, subaru, toyota, volkswagen, volvo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fuel-type: diesel, gas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aspiration: std, turbo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num-of-doors: four, two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body-style: hardtop, wagon, sedan, hatchback, convertible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drive-wheels: 4wd, fwd, rwd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engine-location: front, rear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wheel-base: continuous from 86.6 120.9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length: continuous from 141.1 to 208.1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width: continuous from 60.3 to 72.3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height: continuous from 47.8 to 59.8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curb-weight: continuous from 1488 to 4066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engine-type: dohc, dohcv, l, ohc, ohcf, ohcv, rotor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num-of-cylinders: eight, five, four, six, three, twelve, two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engine-size: continuous from 61 to 326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fuel-system: 1bbl, 2bbl, 4bbl, idi, mfi, mpfi, spdi, spfi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bore: continuous from 2.54 to 3.94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stroke: continuous from 2.07 to 4.17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compression-ratio: continuous from 7 to 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horsepower: continuous from 48 to 288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peak-rpm: continuous from 4150 to 6600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city-mpg: continuous from 13 to 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highway-mpg: continuous from 16 to 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hanging="360" w:firstLine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price: continuous from 5118 to 45400.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0" w:right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0" w:right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Acknowledgements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0" w:right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r>
        <w:rPr>
          <w:rFonts w:hint="default" w:eastAsia="sans-serif" w:cs="sans-serif" w:asciiTheme="majorAscii" w:hAnsiTheme="majorAscii"/>
          <w:i w:val="0"/>
          <w:iCs w:val="0"/>
          <w:caps w:val="0"/>
          <w:spacing w:val="0"/>
          <w:sz w:val="21"/>
          <w:szCs w:val="21"/>
          <w:shd w:val="clear" w:fill="FFFFFF"/>
          <w:vertAlign w:val="baseline"/>
        </w:rPr>
        <w:t>"Automobile Data Set" from the following link: </w:t>
      </w:r>
      <w:r>
        <w:rPr>
          <w:rFonts w:hint="default" w:eastAsia="sans-serif" w:cs="sans-serif" w:asciiTheme="majorAscii" w:hAnsiTheme="majorAscii"/>
          <w:i w:val="0"/>
          <w:iCs w:val="0"/>
          <w:caps w:val="0"/>
          <w:spacing w:val="0"/>
          <w:sz w:val="21"/>
          <w:szCs w:val="21"/>
          <w:shd w:val="clear" w:fill="FFFFFF"/>
          <w:vertAlign w:val="baseline"/>
        </w:rPr>
        <w:fldChar w:fldCharType="begin"/>
      </w:r>
      <w:r>
        <w:rPr>
          <w:rFonts w:hint="default" w:eastAsia="sans-serif" w:cs="sans-serif" w:asciiTheme="majorAscii" w:hAnsiTheme="majorAscii"/>
          <w:i w:val="0"/>
          <w:iCs w:val="0"/>
          <w:caps w:val="0"/>
          <w:spacing w:val="0"/>
          <w:sz w:val="21"/>
          <w:szCs w:val="21"/>
          <w:shd w:val="clear" w:fill="FFFFFF"/>
          <w:vertAlign w:val="baseline"/>
        </w:rPr>
        <w:instrText xml:space="preserve"> HYPERLINK "https://archive.ics.uci.edu/ml/machine-learning-databases/autos/imports-85.data" </w:instrText>
      </w:r>
      <w:r>
        <w:rPr>
          <w:rFonts w:hint="default" w:eastAsia="sans-serif" w:cs="sans-serif" w:asciiTheme="majorAscii" w:hAnsiTheme="majorAscii"/>
          <w:i w:val="0"/>
          <w:iCs w:val="0"/>
          <w:caps w:val="0"/>
          <w:spacing w:val="0"/>
          <w:sz w:val="21"/>
          <w:szCs w:val="21"/>
          <w:shd w:val="clear" w:fill="FFFFFF"/>
          <w:vertAlign w:val="baseline"/>
        </w:rPr>
        <w:fldChar w:fldCharType="separate"/>
      </w:r>
      <w:r>
        <w:rPr>
          <w:rFonts w:hint="default" w:eastAsia="sans-serif" w:cs="sans-serif" w:asciiTheme="majorAscii" w:hAnsiTheme="majorAscii"/>
          <w:i w:val="0"/>
          <w:iCs w:val="0"/>
          <w:caps w:val="0"/>
          <w:spacing w:val="0"/>
          <w:sz w:val="21"/>
          <w:szCs w:val="21"/>
          <w:shd w:val="clear" w:fill="FFFFFF"/>
          <w:vertAlign w:val="baseline"/>
        </w:rPr>
        <w:t>https://archive.ics.uci.edu/ml/machine-learning-databases/autos/imports-85.data</w:t>
      </w:r>
      <w:r>
        <w:rPr>
          <w:rFonts w:hint="default" w:eastAsia="sans-serif" w:cs="sans-serif" w:asciiTheme="majorAscii" w:hAnsiTheme="majorAscii"/>
          <w:i w:val="0"/>
          <w:iCs w:val="0"/>
          <w:caps w:val="0"/>
          <w:spacing w:val="0"/>
          <w:sz w:val="21"/>
          <w:szCs w:val="21"/>
          <w:shd w:val="clear" w:fill="FFFFFF"/>
          <w:vertAlign w:val="baseline"/>
        </w:rPr>
        <w:fldChar w:fldCharType="end"/>
      </w:r>
      <w:r>
        <w:rPr>
          <w:rFonts w:hint="default" w:eastAsia="sans-serif" w:cs="sans-serif" w:asciiTheme="majorAscii" w:hAnsiTheme="majorAscii"/>
          <w:i w:val="0"/>
          <w:iCs w:val="0"/>
          <w:caps w:val="0"/>
          <w:spacing w:val="0"/>
          <w:sz w:val="21"/>
          <w:szCs w:val="21"/>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0" w:rightChars="0"/>
        <w:jc w:val="left"/>
        <w:textAlignment w:val="baseline"/>
        <w:rPr>
          <w:rFonts w:hint="default" w:eastAsia="sans-serif" w:cs="sans-serif" w:asciiTheme="majorAscii" w:hAnsiTheme="majorAscii"/>
          <w:i w:val="0"/>
          <w:iCs w:val="0"/>
          <w:caps w:val="0"/>
          <w:spacing w:val="0"/>
          <w:sz w:val="21"/>
          <w:szCs w:val="21"/>
          <w:shd w:val="clear" w:fill="FFFFFF"/>
          <w:vertAlign w:val="baselin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325B4"/>
    <w:multiLevelType w:val="multilevel"/>
    <w:tmpl w:val="CBD325B4"/>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9360D"/>
    <w:rsid w:val="2DCA08B3"/>
    <w:rsid w:val="4ED670A8"/>
    <w:rsid w:val="60E774B4"/>
    <w:rsid w:val="68D2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2021-06-24T17:39:00Z</dcterms:created>
  <dc:creator>Faith</dc:creator>
  <cp:lastModifiedBy>Faith Temitope Ajiboye-femi</cp:lastModifiedBy>
  <dcterms:modified xsi:type="dcterms:W3CDTF">2021-06-30T01:22:35Z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