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项目结构初始化，在根目录下安装这些模块，编写入口文件编码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-immoc/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&gt;npm install express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&gt;npm install jade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&gt;npm install mongoose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&gt;npm install bower -g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&gt;bower install bootstrap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入口文件编码：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网站初始时候默认状态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-immoc/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-node_modules/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-bower_components/  静态资源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-views/   用来测试的界面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-index.jade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-detail.jade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-admin.jade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-list.jade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-app.js  入口文件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测试前端流程：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-loaclhost:3000/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-loaclhost:3000/movie/1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-loaclhost:3000/admin/movie  后台录入页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-loaclhost:3000/admin/list   后台列表页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B040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2017-05-15T13:47:48Z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