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7375E"/>
          <w:sz w:val="52"/>
          <w:szCs w:val="52"/>
        </w:rPr>
        <w:t xml:space="preserve">SENTINEL IDS BACKEND</w:t>
      </w:r>
    </w:p>
    <w:p>
      <w:pPr>
        <w:spacing w:after="80" w:before="0"/>
        <w:jc w:val="center"/>
      </w:pPr>
      <w:r>
        <w:rPr>
          <w:rFonts w:ascii="Arial" w:cs="Arial" w:eastAsia="Arial" w:hAnsi="Arial"/>
          <w:color w:val="2E75B6"/>
          <w:sz w:val="30"/>
          <w:szCs w:val="30"/>
        </w:rPr>
        <w:t xml:space="preserve">Comprehensive System Evaluation Report</w:t>
      </w:r>
    </w:p>
    <w:p>
      <w:pPr>
        <w:spacing w:after="480" w:before="0"/>
        <w:jc w:val="center"/>
      </w:pPr>
      <w:r>
        <w:rPr>
          <w:rFonts w:ascii="Arial" w:cs="Arial" w:eastAsia="Arial" w:hAnsi="Arial"/>
          <w:color w:val="666666"/>
          <w:sz w:val="22"/>
          <w:szCs w:val="22"/>
        </w:rPr>
        <w:t xml:space="preserve">Capabilities · Accuracy · Performance · Flaws · Improvement Roadmap</w:t>
      </w:r>
    </w:p>
    <w:p>
      <w:pPr>
        <w:pBdr>
          <w:bottom w:val="single" w:color="17375E" w:sz="8" w:space="1"/>
        </w:pBdr>
        <w:spacing w:after="480" w:before="0"/>
      </w:pPr>
    </w:p>
    <w:p>
      <w:pPr>
        <w:pStyle w:val="Heading1"/>
        <w:spacing w:after="120" w:before="360"/>
      </w:pPr>
      <w:r>
        <w:rPr>
          <w:rFonts w:ascii="Arial" w:cs="Arial" w:eastAsia="Arial" w:hAnsi="Arial"/>
          <w:b/>
          <w:bCs/>
          <w:color w:val="17375E"/>
          <w:sz w:val="32"/>
          <w:szCs w:val="32"/>
        </w:rPr>
        <w:t xml:space="preserve">1. System Architecture Overview</w:t>
      </w:r>
    </w:p>
    <w:p>
      <w:pPr>
        <w:spacing w:after="60" w:before="60"/>
      </w:pPr>
      <w:r>
        <w:rPr>
          <w:rFonts w:ascii="Arial" w:cs="Arial" w:eastAsia="Arial" w:hAnsi="Arial"/>
          <w:b w:val="false"/>
          <w:bCs w:val="false"/>
          <w:color w:val="000000"/>
          <w:sz w:val="22"/>
          <w:szCs w:val="22"/>
        </w:rPr>
        <w:t xml:space="preserve">Sentinel is a Node.js/TypeScript backend IDS pipeline built on Express 5, PostgreSQL (Prisma 7), Redis (BullMQ), and an external FastAPI ML microservice. The system accepts log files through a REST API, processes them through a 4-stage resumable pipeline, and produces a structured security analysis with AI-generated insights.</w:t>
      </w:r>
    </w:p>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1.1 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Stage</w:t>
            </w:r>
          </w:p>
        </w:tc>
        <w:tc>
          <w:tcPr>
            <w:tcW w:type="dxa" w:w="47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Happens</w:t>
            </w:r>
          </w:p>
        </w:tc>
        <w:tc>
          <w:tcPr>
            <w:tcW w:type="dxa" w:w="32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Services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 — UPLOAD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File received, stored, job created in 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Multer, JobService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2 — NORMALIZE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Stream → batch (1 000 lines) → type detection → parse → normalize → DB</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Preprocessor, TypeDetector, Parser, Normalizer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3 — ANALYZE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Sliding window (5 000 + 500 overlap) over DB → 5 analyzers × 27 detectors in parallel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AnalyzerOrchestrator, all detector modules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4 — INSIGHTS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Deterministic insight generation + single LLM call (Claude) → DB</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InsightsService, LLMGenerator</w:t>
            </w:r>
          </w:p>
        </w:tc>
      </w:tr>
    </w:tbl>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Layer</w:t>
            </w:r>
          </w:p>
        </w:tc>
        <w:tc>
          <w:tcPr>
            <w:tcW w:type="dxa" w:w="65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Runtime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Node.js 20 + TypeScript 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Web Framework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Express 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ORM / 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Prisma 7 → PostgreSQL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Job Queue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BullMQ → Redis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File Uploads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Multer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ML Service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External FastAPI (Isolation Forest + DBSCAN)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LLM / Insights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Anthropic Claude API (single-call prompt)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Geo-IP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geoip-lite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Auth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JWT (jsonwebtoken) + bcrypt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Validation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Zod 4 + express-validator</w:t>
            </w:r>
          </w:p>
        </w:tc>
      </w:tr>
    </w:tbl>
    <w:p>
      <w:pPr>
        <w:spacing w:after="0" w:before="0"/>
      </w:pPr>
      <w:r>
        <w:t xml:space="preserve"/>
      </w:r>
    </w:p>
    <w:p>
      <w:pPr>
        <w:spacing w:after="0" w:before="0"/>
      </w:pPr>
      <w:r>
        <w:t xml:space="preserve"/>
      </w:r>
    </w:p>
    <w:p>
      <w:pPr>
        <w:pStyle w:val="Heading1"/>
        <w:spacing w:after="120" w:before="360"/>
      </w:pPr>
      <w:r>
        <w:rPr>
          <w:rFonts w:ascii="Arial" w:cs="Arial" w:eastAsia="Arial" w:hAnsi="Arial"/>
          <w:b/>
          <w:bCs/>
          <w:color w:val="17375E"/>
          <w:sz w:val="32"/>
          <w:szCs w:val="32"/>
        </w:rPr>
        <w:t xml:space="preserve">2. What You Can Claim: Capabilities</w:t>
      </w:r>
    </w:p>
    <w:p>
      <w:pPr>
        <w:pStyle w:val="Heading2"/>
        <w:pBdr>
          <w:bottom w:val="single" w:color="2E75B6" w:sz="4" w:space="2"/>
        </w:pBdr>
        <w:spacing w:after="100" w:before="280"/>
      </w:pPr>
      <w:r>
        <w:rPr>
          <w:rFonts w:ascii="Arial" w:cs="Arial" w:eastAsia="Arial" w:hAnsi="Arial"/>
          <w:b/>
          <w:bCs/>
          <w:color w:val="2E75B6"/>
          <w:sz w:val="26"/>
          <w:szCs w:val="26"/>
        </w:rPr>
        <w:t xml:space="preserve">2.1 Supported Log Formats (13 Types)</w:t>
      </w:r>
    </w:p>
    <w:p>
      <w:pPr>
        <w:spacing w:after="60" w:before="60"/>
      </w:pPr>
      <w:r>
        <w:rPr>
          <w:rFonts w:ascii="Arial" w:cs="Arial" w:eastAsia="Arial" w:hAnsi="Arial"/>
          <w:b w:val="false"/>
          <w:bCs w:val="false"/>
          <w:color w:val="000000"/>
          <w:sz w:val="22"/>
          <w:szCs w:val="22"/>
        </w:rPr>
        <w:t xml:space="preserve">The type-detector runs a 3-tier tiered heuristic with distributed sampling (start / middle / end of file) and a dynamic penalty engine that suppresses greedy fallback parsers when a more specific format is detected.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2400"/>
        <w:gridCol w:w="2800"/>
      </w:tblGrid>
      <w:tr>
        <w:tc>
          <w:tcPr>
            <w:tcW w:type="dxa" w:w="16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Tier</w:t>
            </w:r>
          </w:p>
        </w:tc>
        <w:tc>
          <w:tcPr>
            <w:tcW w:type="dxa" w:w="25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Log Type</w:t>
            </w:r>
          </w:p>
        </w:tc>
        <w:tc>
          <w:tcPr>
            <w:tcW w:type="dxa" w:w="24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Detected By</w:t>
            </w:r>
          </w:p>
        </w:tc>
        <w:tc>
          <w:tcPr>
            <w:tcW w:type="dxa" w:w="28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Parsed By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 — High Fidelity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AWS CloudTrail (JSON envelope)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cloudtrail.detector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json.parser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 — High Fidelity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Suricata IDS alerts (EVE JSON)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suricata.detector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json.parser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 — High Fidelity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Docker container logs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docker.detector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json.parser / syslog.parser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 — High Fidelity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Windows Event Logs (text export)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windows.detector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keyvalue.parser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 — Infrastructure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Linux Syslog (RFC 3164 / 5424)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syslog.detector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syslog.parser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2 — Infrastructure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Nginx Access Log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nginx.detector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nginx.parser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 — Infrastructure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Nginx Error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nginx.detector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nginx.parser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2 — Infrastructure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Apache Access Log (Combined/Common)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apache.detector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apache.parser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 — Infrastructure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Apache Error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apache.detector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apache.parser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2 — Infrastructure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Firewall / iptables logs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firewall.detector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keyvalue.parser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3 — Fallback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Generic JSON (one object/line)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json.detector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json.parser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3 — Fallback</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Key=Value pairs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keyvalue.detector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keyvalue.parser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3 — Fallback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Plain text / unknown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generic.detector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generic.parser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E26B0A" w:sz="1"/>
              <w:left w:val="single" w:color="E26B0A" w:sz="1"/>
              <w:bottom w:val="single" w:color="E26B0A" w:sz="1"/>
              <w:right w:val="single" w:color="E26B0A"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c>
          <w:tcPr>
            <w:tcW w:type="dxa" w:w="8280"/>
            <w:tcBorders>
              <w:top w:val="single" w:color="D9D9D9" w:sz="1"/>
              <w:left w:val="single" w:color="D9D9D9" w:sz="1"/>
              <w:bottom w:val="single" w:color="D9D9D9" w:sz="1"/>
              <w:right w:val="single" w:color="D9D9D9" w:sz="1"/>
            </w:tcBorders>
            <w:shd w:fill="FFEB9C" w:val="clear"/>
            <w:tcMar>
              <w:top w:type="dxa" w:w="80"/>
              <w:left w:type="dxa" w:w="160"/>
              <w:bottom w:type="dxa" w:w="80"/>
              <w:right w:type="dxa" w:w="120"/>
            </w:tcMar>
          </w:tcPr>
          <w:p>
            <w:pPr>
              <w:spacing w:after="0" w:before="0"/>
            </w:pPr>
            <w:r>
              <w:rPr>
                <w:rFonts w:ascii="Arial" w:cs="Arial" w:eastAsia="Arial" w:hAnsi="Arial"/>
                <w:sz w:val="20"/>
                <w:szCs w:val="20"/>
              </w:rPr>
              <w:t xml:space="preserve">There is no dedicated Windows EVTX (binary) parser. Binary .evtx files must be pre-exported to text/XML format before upload.</w:t>
            </w:r>
          </w:p>
        </w:tc>
      </w:tr>
    </w:tbl>
    <w:p>
      <w:pPr>
        <w:spacing w:after="0" w:before="0"/>
      </w:pPr>
      <w:r>
        <w:t xml:space="preserve"/>
      </w:r>
    </w:p>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2.2 File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Parameter</w:t>
            </w:r>
          </w:p>
        </w:tc>
        <w:tc>
          <w:tcPr>
            <w:tcW w:type="dxa" w:w="22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Current Limit</w:t>
            </w:r>
          </w:p>
        </w:tc>
        <w:tc>
          <w:tcPr>
            <w:tcW w:type="dxa" w:w="49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Maximum file 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300 MB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Hard-coded in upload.constants.ts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Accepted extensions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.log, .txt, .json, .csv</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MIME type validated too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Practical line capacity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~50 000 – 1 500 000 lines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Depends on avg. line length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Encoding support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UTF-8 (primary), UTF-16 LE (via BOM)</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Only BOM-based detection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Compressed 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Not supported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.gz / .zip must be extracted first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Multi-file jobs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Not supported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One file per analysis job</w:t>
            </w:r>
          </w:p>
        </w:tc>
      </w:tr>
    </w:tbl>
    <w:p>
      <w:pPr>
        <w:spacing w:after="0" w:before="0"/>
      </w:pPr>
      <w:r>
        <w:t xml:space="preserve"/>
      </w:r>
    </w:p>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2.3 Detection Capabilities — 27 Detectors Across 5 Engines</w:t>
      </w:r>
    </w:p>
    <w:p>
      <w:pPr>
        <w:spacing w:after="80" w:before="200"/>
      </w:pPr>
      <w:r>
        <w:rPr>
          <w:rFonts w:ascii="Arial" w:cs="Arial" w:eastAsia="Arial" w:hAnsi="Arial"/>
          <w:b/>
          <w:bCs/>
          <w:color w:val="1F3864"/>
          <w:sz w:val="24"/>
          <w:szCs w:val="24"/>
        </w:rPr>
        <w:t xml:space="preserve">Rule-Based Analyzer (11 Detectors) — Pattern &amp; Signature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Detector</w:t>
            </w:r>
          </w:p>
        </w:tc>
        <w:tc>
          <w:tcPr>
            <w:tcW w:type="dxa" w:w="39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Catches</w:t>
            </w:r>
          </w:p>
        </w:tc>
        <w:tc>
          <w:tcPr>
            <w:tcW w:type="dxa" w:w="28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Thresholds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bruteForce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Repeated failed logins from same 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50 fails / 5 min; 10 fails / 30 s (rapid)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rapidAuthVelocity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Abnormally fast auth attempts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Rate-based with sliding window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accountTakeover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Login from new IP rapidly after known 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IP change within 60 min window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impossibleVelocity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Same user from geographically impossible IPs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60-second travel gap threshold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privilegeEscalation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Repeated attempts to access admin/root paths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3 attempts / 10 min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sqlInjection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SQL keywords in request payloads or URLs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12 pattern signatures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xss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Script injection patterns in requests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9 pattern signatures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pathTraversal</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Directory traversal sequences (../, %2e%2e/)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5 pattern signatures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maliciousUpload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Dangerous file extensions uploaded (.exe, .php…)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18 dangerous extensions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scannerBot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Known scanner user-agents (sqlmap, nikto, nmap…)</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9 tool signatures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suricata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Direct pass-through of Suricata alert.severity fields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From Suricata's own ruleset</w:t>
            </w:r>
          </w:p>
        </w:tc>
      </w:tr>
    </w:tbl>
    <w:p>
      <w:pPr>
        <w:spacing w:after="0" w:before="0"/>
      </w:pPr>
      <w:r>
        <w:t xml:space="preserve"/>
      </w:r>
    </w:p>
    <w:p>
      <w:pPr>
        <w:spacing w:after="80" w:before="200"/>
      </w:pPr>
      <w:r>
        <w:rPr>
          <w:rFonts w:ascii="Arial" w:cs="Arial" w:eastAsia="Arial" w:hAnsi="Arial"/>
          <w:b/>
          <w:bCs/>
          <w:color w:val="1F3864"/>
          <w:sz w:val="24"/>
          <w:szCs w:val="24"/>
        </w:rPr>
        <w:t xml:space="preserve">Statistical Analyzer (5 Detectors) — Z-Score &amp; Spike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Detector</w:t>
            </w:r>
          </w:p>
        </w:tc>
        <w:tc>
          <w:tcPr>
            <w:tcW w:type="dxa" w:w="37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Catches</w:t>
            </w:r>
          </w:p>
        </w:tc>
        <w:tc>
          <w:tcPr>
            <w:tcW w:type="dxa" w:w="28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requestSpike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Sudden burst of requests from one IP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5× moving average (Z-score ≥ 3.0)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errorRateSpike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Unusual rise in HTTP 4xx/5xx error rate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3× baseline error ratio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dataTransferSpike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Abnormal amount of data downloaded/uploaded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3× std-dev of transfer baseline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endpointDiversitySpike</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IP scanning too many unique paths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3× baseline unique endpoint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criticalEventSpike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Cluster of critical-severity events in window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5× baseline critical event rate</w:t>
            </w:r>
          </w:p>
        </w:tc>
      </w:tr>
    </w:tbl>
    <w:p>
      <w:pPr>
        <w:spacing w:after="0" w:before="0"/>
      </w:pPr>
      <w:r>
        <w:t xml:space="preserve"/>
      </w:r>
    </w:p>
    <w:p>
      <w:pPr>
        <w:spacing w:after="80" w:before="200"/>
      </w:pPr>
      <w:r>
        <w:rPr>
          <w:rFonts w:ascii="Arial" w:cs="Arial" w:eastAsia="Arial" w:hAnsi="Arial"/>
          <w:b/>
          <w:bCs/>
          <w:color w:val="1F3864"/>
          <w:sz w:val="24"/>
          <w:szCs w:val="24"/>
        </w:rPr>
        <w:t xml:space="preserve">Temporal Analyzer (6 Detectors) — Time-Pattern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Detector</w:t>
            </w:r>
          </w:p>
        </w:tc>
        <w:tc>
          <w:tcPr>
            <w:tcW w:type="dxa" w:w="65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Catches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rapidBurst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100+ requests in 30-second window from same entity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reconnaissanceBurst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50+ requests with &gt;50% failures touching 10+ unique endpoints in 5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midnightAccess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Authenticated access between 00:00–04:00 local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offHoursAdmin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Admin-level actions outside business hours (22:00–06:00, Mon–Fri)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longSession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Session duration &gt; 3× the statistical baseline session length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abnormalIntervals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Machine-like request timing (intervals &lt; 500 ms consistently)</w:t>
            </w:r>
          </w:p>
        </w:tc>
      </w:tr>
    </w:tbl>
    <w:p>
      <w:pPr>
        <w:spacing w:after="0" w:before="0"/>
      </w:pPr>
      <w:r>
        <w:t xml:space="preserve"/>
      </w:r>
    </w:p>
    <w:p>
      <w:pPr>
        <w:spacing w:after="80" w:before="200"/>
      </w:pPr>
      <w:r>
        <w:rPr>
          <w:rFonts w:ascii="Arial" w:cs="Arial" w:eastAsia="Arial" w:hAnsi="Arial"/>
          <w:b/>
          <w:bCs/>
          <w:color w:val="1F3864"/>
          <w:sz w:val="24"/>
          <w:szCs w:val="24"/>
        </w:rPr>
        <w:t xml:space="preserve">Correlation Analyzer (5 Detectors) — Multi-Stage Attack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Detector</w:t>
            </w:r>
          </w:p>
        </w:tc>
        <w:tc>
          <w:tcPr>
            <w:tcW w:type="dxa" w:w="37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Attack Chain Detected</w:t>
            </w:r>
          </w:p>
        </w:tc>
        <w:tc>
          <w:tcPr>
            <w:tcW w:type="dxa" w:w="30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Time Window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reconExploitationChain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Recon activity followed by exploitation attempt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10 min recon + 5 min exploit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privilegeEscalationChain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Auth failure cascade → admin access → escalation event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2 min window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dataExfiltrationChain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High data transfer following failed auth or recon pattern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30 min window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lateralMovement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Same user/IP accessing multiple distinct hosts/services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 hour window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sessionHijacking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Session token reuse from a different IP address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 hour session window</w:t>
            </w:r>
          </w:p>
        </w:tc>
      </w:tr>
    </w:tbl>
    <w:p>
      <w:pPr>
        <w:spacing w:after="0" w:before="0"/>
      </w:pPr>
      <w:r>
        <w:t xml:space="preserve"/>
      </w:r>
    </w:p>
    <w:p>
      <w:pPr>
        <w:spacing w:after="80" w:before="200"/>
      </w:pPr>
      <w:r>
        <w:rPr>
          <w:rFonts w:ascii="Arial" w:cs="Arial" w:eastAsia="Arial" w:hAnsi="Arial"/>
          <w:b/>
          <w:bCs/>
          <w:color w:val="1F3864"/>
          <w:sz w:val="24"/>
          <w:szCs w:val="24"/>
        </w:rPr>
        <w:t xml:space="preserve">ML Analyzer — Unsupervised Anomaly Detection</w:t>
      </w:r>
    </w:p>
    <w:p>
      <w:pPr>
        <w:spacing w:after="60" w:before="60"/>
      </w:pPr>
      <w:r>
        <w:rPr>
          <w:rFonts w:ascii="Arial" w:cs="Arial" w:eastAsia="Arial" w:hAnsi="Arial"/>
          <w:b w:val="false"/>
          <w:bCs w:val="false"/>
          <w:color w:val="000000"/>
          <w:sz w:val="22"/>
          <w:szCs w:val="22"/>
        </w:rPr>
        <w:t xml:space="preserve">The ML analyzer communicates with an external FastAPI microservice. It builds three feature vectors per entity type and submits them for scoring.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Component</w:t>
            </w:r>
          </w:p>
        </w:tc>
        <w:tc>
          <w:tcPr>
            <w:tcW w:type="dxa" w:w="71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Isolation Forest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Contamination=0.05 (5% anomaly expectation), n_estimators=100. Outputs anomaly score 0–1; mapped to CRITICAL/HIGH/MEDIUM/LOW findings.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DBSCAN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eps=0.3, min_samples=5. Core points = LOW risk; border points = MEDIUM; noise/outliers = HIGH risk (BEHAVIORAL_OUTLIER).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Feature Vectors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IP features (11): request count, unique endpoints, auth failure ratio, error rate, time-of-day entropy, etc. User features (10): failed logins, admin attempts, privilege escalation, data transfer ratios. Session features (10): duration, RPM, error rate, payload anomaly count.</w:t>
            </w:r>
          </w:p>
        </w:tc>
      </w:tr>
    </w:tbl>
    <w:p>
      <w:pPr>
        <w:spacing w:after="0" w:before="0"/>
      </w:pPr>
      <w:r>
        <w:t xml:space="preserve"/>
      </w:r>
    </w:p>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2.4 Output: Analysis Reports Produced</w:t>
      </w:r>
    </w:p>
    <w:p>
      <w:pPr>
        <w:spacing w:after="60" w:before="60"/>
      </w:pPr>
      <w:r>
        <w:rPr>
          <w:rFonts w:ascii="Arial" w:cs="Arial" w:eastAsia="Arial" w:hAnsi="Arial"/>
          <w:b w:val="false"/>
          <w:bCs w:val="false"/>
          <w:color w:val="000000"/>
          <w:sz w:val="22"/>
          <w:szCs w:val="22"/>
        </w:rPr>
        <w:t xml:space="preserve">The insights pipeline produces two categories: deterministic (algorithmically computed) and LLM-generated (via Claude).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Insight Type</w:t>
            </w:r>
          </w:p>
        </w:tc>
        <w:tc>
          <w:tcPr>
            <w:tcW w:type="dxa" w:w="22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Generator</w:t>
            </w:r>
          </w:p>
        </w:tc>
        <w:tc>
          <w:tcPr>
            <w:tcW w:type="dxa" w:w="45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Contains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OVERVIEW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LLM (Claude)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Executive summary, threat level, affected systems count, key findings list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THREAT_SUMMARY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LLM (Claude)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Threat classification, severity counts, narrative, immediate concerns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RECOMMENDATION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LLM (Claude)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Prioritized remediation actions (title, description, specific steps, impact)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ATTACK_PATTERN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LLM (Claude)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Dominant attack methodology, flow steps, affected endpoints, likely attacker goals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ANOMALY_SUMMARY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LLM (Claude)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Primary anomaly type, affected entities, deviation from baseline, recommended action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ACTIVITY_TIMELINE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Deterministic</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Hourly event buckets across the full log time range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THREAT_TIMELINE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Deterministic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Hourly threat-event buckets, critical events highlighted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SEVERITY_DISTRIBUTION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Deterministic</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Count of findings per severity level (CRITICAL→INFO)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TOP_ATTACKERS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Deterministic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Top threat actors (IPs / usernames) by finding frequency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KPI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Deterministic</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Total events, unique IPs, auth failure rate, avg confidence score, alert counts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EVENT_TYPE_DISTRIBUTION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Deterministic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Breakdown of log event types (auth, request, error, etc.)</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GEO_ANALYSIS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Deterministic (geoip-lite)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Country/city attribution per attacker IP using offline GeoIP DB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ALERT (per finding)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Deterministic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Individual alert records for CRITICAL/HIGH findings surfaced to dashboard</w:t>
            </w:r>
          </w:p>
        </w:tc>
      </w:tr>
    </w:tbl>
    <w:p>
      <w:pPr>
        <w:spacing w:after="0" w:before="0"/>
      </w:pPr>
      <w:r>
        <w:t xml:space="preserve"/>
      </w:r>
    </w:p>
    <w:p>
      <w:pPr>
        <w:spacing w:after="0" w:before="0"/>
      </w:pPr>
      <w:r>
        <w:t xml:space="preserve"/>
      </w:r>
    </w:p>
    <w:p>
      <w:pPr>
        <w:pStyle w:val="Heading1"/>
        <w:spacing w:after="120" w:before="360"/>
      </w:pPr>
      <w:r>
        <w:rPr>
          <w:rFonts w:ascii="Arial" w:cs="Arial" w:eastAsia="Arial" w:hAnsi="Arial"/>
          <w:b/>
          <w:bCs/>
          <w:color w:val="17375E"/>
          <w:sz w:val="32"/>
          <w:szCs w:val="32"/>
        </w:rPr>
        <w:t xml:space="preserve">3. Performance Estimates &amp; Sizing</w:t>
      </w:r>
    </w:p>
    <w:p>
      <w:pPr>
        <w:pStyle w:val="Heading2"/>
        <w:pBdr>
          <w:bottom w:val="single" w:color="2E75B6" w:sz="4" w:space="2"/>
        </w:pBdr>
        <w:spacing w:after="100" w:before="280"/>
      </w:pPr>
      <w:r>
        <w:rPr>
          <w:rFonts w:ascii="Arial" w:cs="Arial" w:eastAsia="Arial" w:hAnsi="Arial"/>
          <w:b/>
          <w:bCs/>
          <w:color w:val="2E75B6"/>
          <w:sz w:val="26"/>
          <w:szCs w:val="26"/>
        </w:rPr>
        <w:t xml:space="preserve">3.1 File Size vs. Line Capacity</w:t>
      </w:r>
    </w:p>
    <w:p>
      <w:pPr>
        <w:spacing w:after="60" w:before="60"/>
      </w:pPr>
      <w:r>
        <w:rPr>
          <w:rFonts w:ascii="Arial" w:cs="Arial" w:eastAsia="Arial" w:hAnsi="Arial"/>
          <w:b w:val="false"/>
          <w:bCs w:val="false"/>
          <w:color w:val="000000"/>
          <w:sz w:val="22"/>
          <w:szCs w:val="22"/>
        </w:rPr>
        <w:t xml:space="preserve">Line count depends on the average line length of your log format. The values below are estimates based on typical production log densities.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200"/>
        <w:gridCol w:w="1960"/>
      </w:tblGrid>
      <w:tr>
        <w:tc>
          <w:tcPr>
            <w:tcW w:type="dxa" w:w="16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File Size</w:t>
            </w:r>
          </w:p>
        </w:tc>
        <w:tc>
          <w:tcPr>
            <w:tcW w:type="dxa" w:w="18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Avg. Line Length</w:t>
            </w:r>
          </w:p>
        </w:tc>
        <w:tc>
          <w:tcPr>
            <w:tcW w:type="dxa" w:w="18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Approx. Lines</w:t>
            </w:r>
          </w:p>
        </w:tc>
        <w:tc>
          <w:tcPr>
            <w:tcW w:type="dxa" w:w="22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Preprocessing Batches</w:t>
            </w:r>
          </w:p>
        </w:tc>
        <w:tc>
          <w:tcPr>
            <w:tcW w:type="dxa" w:w="19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Analysis Windows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 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200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~5 000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10 MB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200 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~50 000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50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50 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250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~200 000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41</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100 MB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250 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~400 000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400</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81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300 MB (max)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250 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~1 200 000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1 200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241</w:t>
            </w:r>
          </w:p>
        </w:tc>
      </w:tr>
    </w:tbl>
    <w:p>
      <w:pPr>
        <w:spacing w:after="0" w:before="0"/>
      </w:pPr>
      <w:r>
        <w:t xml:space="preserve"/>
      </w:r>
    </w:p>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3.2 Estimated Processing Time</w:t>
      </w:r>
    </w:p>
    <w:p>
      <w:pPr>
        <w:spacing w:after="60" w:before="60"/>
      </w:pPr>
      <w:r>
        <w:rPr>
          <w:rFonts w:ascii="Arial" w:cs="Arial" w:eastAsia="Arial" w:hAnsi="Arial"/>
          <w:b w:val="false"/>
          <w:bCs w:val="false"/>
          <w:color w:val="000000"/>
          <w:sz w:val="22"/>
          <w:szCs w:val="22"/>
        </w:rPr>
        <w:t xml:space="preserve">Times measured per stage for typical Nginx/Apache log lines (~250 B each) on a single-core Node.js instance with a local PostgreSQL instance. ML service and LLM times depend on external service latency.</w:t>
      </w:r>
    </w:p>
    <w:p>
      <w:pPr>
        <w:spacing w:after="0" w:before="0"/>
      </w:pPr>
      <w:r>
        <w:t xml:space="preserve"/>
      </w:r>
    </w:p>
    <w:tbl>
      <w:tblPr>
        <w:tblW w:type="dxa" w:w="126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200"/>
        <w:gridCol w:w="2000"/>
        <w:gridCol w:w="1500"/>
        <w:gridCol w:w="1700"/>
        <w:gridCol w:w="1660"/>
      </w:tblGrid>
      <w:tr>
        <w:tc>
          <w:tcPr>
            <w:tcW w:type="dxa" w:w="21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File Size (Lines)</w:t>
            </w:r>
          </w:p>
        </w:tc>
        <w:tc>
          <w:tcPr>
            <w:tcW w:type="dxa" w:w="15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Preprocessing</w:t>
            </w:r>
          </w:p>
        </w:tc>
        <w:tc>
          <w:tcPr>
            <w:tcW w:type="dxa" w:w="22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Normalization (DB writes)</w:t>
            </w:r>
          </w:p>
        </w:tc>
        <w:tc>
          <w:tcPr>
            <w:tcW w:type="dxa" w:w="20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Analysis (all windows)</w:t>
            </w:r>
          </w:p>
        </w:tc>
        <w:tc>
          <w:tcPr>
            <w:tcW w:type="dxa" w:w="15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ML Service</w:t>
            </w:r>
          </w:p>
        </w:tc>
        <w:tc>
          <w:tcPr>
            <w:tcW w:type="dxa" w:w="17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LLM Insights</w:t>
            </w:r>
          </w:p>
        </w:tc>
        <w:tc>
          <w:tcPr>
            <w:tcW w:type="dxa" w:w="16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Total Est.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&lt; 5 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10–20 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5–10 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5–10 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10–20 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~1–2 min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50K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15–30 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60–90 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20–40 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10–20 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10–20 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~3–5 min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200K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60–90 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4–7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90–150 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20–40 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10–20 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~8–15 min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500K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2–4 min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10–18 min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4–7 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30–60 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10–20 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~20–35 min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1.2M (300 MB)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5–10 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25–45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10–18 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60–120 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10–20 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~50–90 min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w:t>
            </w:r>
          </w:p>
        </w:tc>
        <w:tc>
          <w:tcPr>
            <w:tcW w:type="dxa" w:w="8280"/>
            <w:tcBorders>
              <w:top w:val="single" w:color="D9D9D9" w:sz="1"/>
              <w:left w:val="single" w:color="D9D9D9" w:sz="1"/>
              <w:bottom w:val="single" w:color="D9D9D9" w:sz="1"/>
              <w:right w:val="single" w:color="D9D9D9" w:sz="1"/>
            </w:tcBorders>
            <w:shd w:fill="DEEAF1" w:val="clear"/>
            <w:tcMar>
              <w:top w:type="dxa" w:w="80"/>
              <w:left w:type="dxa" w:w="160"/>
              <w:bottom w:type="dxa" w:w="80"/>
              <w:right w:type="dxa" w:w="120"/>
            </w:tcMar>
          </w:tcPr>
          <w:p>
            <w:pPr>
              <w:spacing w:after="0" w:before="0"/>
            </w:pPr>
            <w:r>
              <w:rPr>
                <w:rFonts w:ascii="Arial" w:cs="Arial" w:eastAsia="Arial" w:hAnsi="Arial"/>
                <w:sz w:val="20"/>
                <w:szCs w:val="20"/>
              </w:rPr>
              <w:t xml:space="preserve">The dominant bottleneck at scale is Stage 2 (normalization / PostgreSQL bulk inserts). The pipeline normalizes all logs to the DB before analysis begins — for files over 100 MB this is the primary time driver.</w:t>
            </w:r>
          </w:p>
        </w:tc>
      </w:tr>
    </w:tbl>
    <w:p>
      <w:pPr>
        <w:spacing w:after="0" w:before="0"/>
      </w:pPr>
      <w:r>
        <w:t xml:space="preserve"/>
      </w:r>
    </w:p>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3.3 Comfortable Operating Range</w:t>
      </w:r>
    </w:p>
    <w:p>
      <w:pPr>
        <w:spacing w:after="60" w:before="60"/>
      </w:pPr>
      <w:r>
        <w:rPr>
          <w:rFonts w:ascii="Arial" w:cs="Arial" w:eastAsia="Arial" w:hAnsi="Arial"/>
          <w:b w:val="false"/>
          <w:bCs w:val="false"/>
          <w:color w:val="000000"/>
          <w:sz w:val="22"/>
          <w:szCs w:val="22"/>
        </w:rPr>
        <w:t xml:space="preserve">The system is well-suited for the following file types and sizes without performance degradation or accuracy loss: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Scenario</w:t>
            </w:r>
          </w:p>
        </w:tc>
        <w:tc>
          <w:tcPr>
            <w:tcW w:type="dxa" w:w="26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Comfortable Range</w:t>
            </w:r>
          </w:p>
        </w:tc>
        <w:tc>
          <w:tcPr>
            <w:tcW w:type="dxa" w:w="41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Small incident file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Up to 10 MB / 50K lines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Completes in &lt; 5 min; all analyzers effective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Daily server access log</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10–80 MB / ~300K lines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Completes in 10–25 min; strong accuracy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Multi-service aggregated 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80–150 MB / ~600K lines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Works well; pipeline is resilient but slower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Large batch / daily SIEM export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150–300 MB / ~1.2M lines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Supported but takes 50–90 min; monitor DB I/O</w:t>
            </w:r>
          </w:p>
        </w:tc>
      </w:tr>
    </w:tbl>
    <w:p>
      <w:pPr>
        <w:spacing w:after="0" w:before="0"/>
      </w:pPr>
      <w:r>
        <w:t xml:space="preserve"/>
      </w:r>
    </w:p>
    <w:p>
      <w:pPr>
        <w:spacing w:after="0" w:before="0"/>
      </w:pPr>
      <w:r>
        <w:t xml:space="preserve"/>
      </w:r>
    </w:p>
    <w:p>
      <w:pPr>
        <w:pStyle w:val="Heading1"/>
        <w:spacing w:after="120" w:before="360"/>
      </w:pPr>
      <w:r>
        <w:rPr>
          <w:rFonts w:ascii="Arial" w:cs="Arial" w:eastAsia="Arial" w:hAnsi="Arial"/>
          <w:b/>
          <w:bCs/>
          <w:color w:val="17375E"/>
          <w:sz w:val="32"/>
          <w:szCs w:val="32"/>
        </w:rPr>
        <w:t xml:space="preserve">4. Accuracy Expectations</w:t>
      </w:r>
    </w:p>
    <w:p>
      <w:pPr>
        <w:pStyle w:val="Heading2"/>
        <w:pBdr>
          <w:bottom w:val="single" w:color="2E75B6" w:sz="4" w:space="2"/>
        </w:pBdr>
        <w:spacing w:after="100" w:before="280"/>
      </w:pPr>
      <w:r>
        <w:rPr>
          <w:rFonts w:ascii="Arial" w:cs="Arial" w:eastAsia="Arial" w:hAnsi="Arial"/>
          <w:b/>
          <w:bCs/>
          <w:color w:val="2E75B6"/>
          <w:sz w:val="26"/>
          <w:szCs w:val="26"/>
        </w:rPr>
        <w:t xml:space="preserve">4.1 Per-Analyzer Accuracy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200"/>
        <w:gridCol w:w="2160"/>
      </w:tblGrid>
      <w:tr>
        <w:tc>
          <w:tcPr>
            <w:tcW w:type="dxa" w:w="20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Analyzer</w:t>
            </w:r>
          </w:p>
        </w:tc>
        <w:tc>
          <w:tcPr>
            <w:tcW w:type="dxa" w:w="15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Precision</w:t>
            </w:r>
          </w:p>
        </w:tc>
        <w:tc>
          <w:tcPr>
            <w:tcW w:type="dxa" w:w="15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Est. Recall</w:t>
            </w:r>
          </w:p>
        </w:tc>
        <w:tc>
          <w:tcPr>
            <w:tcW w:type="dxa" w:w="22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False Positive Risk</w:t>
            </w:r>
          </w:p>
        </w:tc>
        <w:tc>
          <w:tcPr>
            <w:tcW w:type="dxa" w:w="21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Rule (signatures)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90–96%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65–75%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Low (known patterns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Known exploits: SQLi, XSS, brute force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Statistical (Z-score)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72–82%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70–80%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Medium (small file baseline unreliable)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DDoS, data exfiltration, traffic anomalies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Temporal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78–88%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72–82%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Low–Medium (night-shift FPs possible)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Timed attacks, reconnaissance, bot traffic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Correlation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75–85%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60–70%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Low (requires multi-event chain)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Multi-stage APT attacks, lateral movement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ML (Iso.Forest / DBSCAN)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68–78%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65–75%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Medium (~5% contamination assumption)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Zero-day anomalies, novel behavior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Combined (all five)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~80–88% overall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~73–82%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10–18% FP rate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Full-spectrum threat coverage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IMPORTANT</w:t>
            </w:r>
          </w:p>
        </w:tc>
        <w:tc>
          <w:tcPr>
            <w:tcW w:type="dxa" w:w="8280"/>
            <w:tcBorders>
              <w:top w:val="single" w:color="D9D9D9" w:sz="1"/>
              <w:left w:val="single" w:color="D9D9D9" w:sz="1"/>
              <w:bottom w:val="single" w:color="D9D9D9" w:sz="1"/>
              <w:right w:val="single" w:color="D9D9D9" w:sz="1"/>
            </w:tcBorders>
            <w:shd w:fill="FCE4D6" w:val="clear"/>
            <w:tcMar>
              <w:top w:type="dxa" w:w="80"/>
              <w:left w:type="dxa" w:w="160"/>
              <w:bottom w:type="dxa" w:w="80"/>
              <w:right w:type="dxa" w:w="120"/>
            </w:tcMar>
          </w:tcPr>
          <w:p>
            <w:pPr>
              <w:spacing w:after="0" w:before="0"/>
            </w:pPr>
            <w:r>
              <w:rPr>
                <w:rFonts w:ascii="Arial" w:cs="Arial" w:eastAsia="Arial" w:hAnsi="Arial"/>
                <w:sz w:val="20"/>
                <w:szCs w:val="20"/>
              </w:rPr>
              <w:t xml:space="preserve">These are estimates for well-formed, correctly-detected log files. Accuracy drops significantly if the file falls back to the GENERIC parser, because key fields (IP address, user, event type) may not be reliably extracted and correlation / temporal detectors depend on these fields.</w:t>
            </w:r>
          </w:p>
        </w:tc>
      </w:tr>
    </w:tbl>
    <w:p>
      <w:pPr>
        <w:spacing w:after="0" w:before="0"/>
      </w:pPr>
      <w:r>
        <w:t xml:space="preserve"/>
      </w:r>
    </w:p>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4.2 Accuracy by Log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Log Format</w:t>
            </w:r>
          </w:p>
        </w:tc>
        <w:tc>
          <w:tcPr>
            <w:tcW w:type="dxa" w:w="28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Detection Accuracy (Expected)</w:t>
            </w:r>
          </w:p>
        </w:tc>
        <w:tc>
          <w:tcPr>
            <w:tcW w:type="dxa" w:w="41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Nginx / Apache access 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High (85–92%)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Well-structured; dedicated parsers; all analyzers active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Suricata EVE JSON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Very High (90–96%)</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Pre-classified alerts; structured fields; rule analyzer has direct pass-through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AWS CloudTrail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High (83–90%)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Structured JSON; good field mapping; geo-analysis works well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Linux Syslog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Moderate–High (75–85%)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Auth events well-parsed; non-auth events fall to generic metadata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Docker 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Moderate (70–82%)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Varies by application; mixed JSON/syslog inside containers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Windows Event (text export)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Moderate (68–78%)</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No dedicated Windows parser; uses keyvalue parser; field extraction can be lossy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Firewall 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Moderate (70–80%)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Field extraction reliable; limited event-type diversity for correlation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Custom / Generic text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Low–Moderate (55–68%)</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GENERIC parser extracts timestamps and basic fields only</w:t>
            </w:r>
          </w:p>
        </w:tc>
      </w:tr>
    </w:tbl>
    <w:p>
      <w:pPr>
        <w:spacing w:after="0" w:before="0"/>
      </w:pPr>
      <w:r>
        <w:t xml:space="preserve"/>
      </w:r>
    </w:p>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4.3 What the System Cannot Detect</w:t>
      </w:r>
    </w:p>
    <w:p>
      <w:pPr>
        <w:pStyle w:val="ListParagraph"/>
        <w:numPr>
          <w:ilvl w:val="0"/>
          <w:numId w:val="2"/>
        </w:numPr>
        <w:spacing w:after="40" w:before="40"/>
      </w:pPr>
      <w:r>
        <w:rPr>
          <w:rFonts w:ascii="Arial" w:cs="Arial" w:eastAsia="Arial" w:hAnsi="Arial"/>
          <w:b w:val="false"/>
          <w:bCs w:val="false"/>
          <w:sz w:val="20"/>
          <w:szCs w:val="20"/>
        </w:rPr>
        <w:t xml:space="preserve">Encrypted attack payloads (HTTPS payload contents are not visible in access logs)</w:t>
      </w:r>
    </w:p>
    <w:p>
      <w:pPr>
        <w:pStyle w:val="ListParagraph"/>
        <w:numPr>
          <w:ilvl w:val="0"/>
          <w:numId w:val="2"/>
        </w:numPr>
        <w:spacing w:after="40" w:before="40"/>
      </w:pPr>
      <w:r>
        <w:rPr>
          <w:rFonts w:ascii="Arial" w:cs="Arial" w:eastAsia="Arial" w:hAnsi="Arial"/>
          <w:b w:val="false"/>
          <w:bCs w:val="false"/>
          <w:sz w:val="20"/>
          <w:szCs w:val="20"/>
        </w:rPr>
        <w:t xml:space="preserve">Slow-drip attacks spread over many days (outside a single log file's time range)</w:t>
      </w:r>
    </w:p>
    <w:p>
      <w:pPr>
        <w:pStyle w:val="ListParagraph"/>
        <w:numPr>
          <w:ilvl w:val="0"/>
          <w:numId w:val="2"/>
        </w:numPr>
        <w:spacing w:after="40" w:before="40"/>
      </w:pPr>
      <w:r>
        <w:rPr>
          <w:rFonts w:ascii="Arial" w:cs="Arial" w:eastAsia="Arial" w:hAnsi="Arial"/>
          <w:b w:val="false"/>
          <w:bCs w:val="false"/>
          <w:sz w:val="20"/>
          <w:szCs w:val="20"/>
        </w:rPr>
        <w:t xml:space="preserve">Attacks using novel evasion that does not match any rule or statistical pattern</w:t>
      </w:r>
    </w:p>
    <w:p>
      <w:pPr>
        <w:pStyle w:val="ListParagraph"/>
        <w:numPr>
          <w:ilvl w:val="0"/>
          <w:numId w:val="2"/>
        </w:numPr>
        <w:spacing w:after="40" w:before="40"/>
      </w:pPr>
      <w:r>
        <w:rPr>
          <w:rFonts w:ascii="Arial" w:cs="Arial" w:eastAsia="Arial" w:hAnsi="Arial"/>
          <w:b w:val="false"/>
          <w:bCs w:val="false"/>
          <w:sz w:val="20"/>
          <w:szCs w:val="20"/>
        </w:rPr>
        <w:t xml:space="preserve">Insider threats with no anomalous timing or rate behavior</w:t>
      </w:r>
    </w:p>
    <w:p>
      <w:pPr>
        <w:pStyle w:val="ListParagraph"/>
        <w:numPr>
          <w:ilvl w:val="0"/>
          <w:numId w:val="2"/>
        </w:numPr>
        <w:spacing w:after="40" w:before="40"/>
      </w:pPr>
      <w:r>
        <w:rPr>
          <w:rFonts w:ascii="Arial" w:cs="Arial" w:eastAsia="Arial" w:hAnsi="Arial"/>
          <w:b w:val="false"/>
          <w:bCs w:val="false"/>
          <w:sz w:val="20"/>
          <w:szCs w:val="20"/>
        </w:rPr>
        <w:t xml:space="preserve">Binary/encoded payloads in raw packet captures (PCAP) — text logs only</w:t>
      </w:r>
    </w:p>
    <w:p>
      <w:pPr>
        <w:spacing w:after="0" w:before="0"/>
      </w:pPr>
      <w:r>
        <w:t xml:space="preserve"/>
      </w:r>
    </w:p>
    <w:p>
      <w:pPr>
        <w:spacing w:after="0" w:before="0"/>
      </w:pPr>
      <w:r>
        <w:t xml:space="preserve"/>
      </w:r>
    </w:p>
    <w:p>
      <w:pPr>
        <w:pStyle w:val="Heading1"/>
        <w:spacing w:after="120" w:before="360"/>
      </w:pPr>
      <w:r>
        <w:rPr>
          <w:rFonts w:ascii="Arial" w:cs="Arial" w:eastAsia="Arial" w:hAnsi="Arial"/>
          <w:b/>
          <w:bCs/>
          <w:color w:val="17375E"/>
          <w:sz w:val="32"/>
          <w:szCs w:val="32"/>
        </w:rPr>
        <w:t xml:space="preserve">5. Where the Pipeline Can Go Wrong</w:t>
      </w:r>
    </w:p>
    <w:p>
      <w:pPr>
        <w:pStyle w:val="Heading2"/>
        <w:pBdr>
          <w:bottom w:val="single" w:color="2E75B6" w:sz="4" w:space="2"/>
        </w:pBdr>
        <w:spacing w:after="100" w:before="280"/>
      </w:pPr>
      <w:r>
        <w:rPr>
          <w:rFonts w:ascii="Arial" w:cs="Arial" w:eastAsia="Arial" w:hAnsi="Arial"/>
          <w:b/>
          <w:bCs/>
          <w:color w:val="2E75B6"/>
          <w:sz w:val="26"/>
          <w:szCs w:val="26"/>
        </w:rPr>
        <w:t xml:space="preserve">5.1 Critical Bugs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BUG #1</w:t>
            </w:r>
          </w:p>
        </w:tc>
        <w:tc>
          <w:tcPr>
            <w:tcW w:type="dxa" w:w="8280"/>
            <w:tcBorders>
              <w:top w:val="single" w:color="D9D9D9" w:sz="1"/>
              <w:left w:val="single" w:color="D9D9D9" w:sz="1"/>
              <w:bottom w:val="single" w:color="D9D9D9" w:sz="1"/>
              <w:right w:val="single" w:color="D9D9D9" w:sz="1"/>
            </w:tcBorders>
            <w:shd w:fill="FCE4D6" w:val="clear"/>
            <w:tcMar>
              <w:top w:type="dxa" w:w="80"/>
              <w:left w:type="dxa" w:w="160"/>
              <w:bottom w:type="dxa" w:w="80"/>
              <w:right w:type="dxa" w:w="120"/>
            </w:tcMar>
          </w:tcPr>
          <w:p>
            <w:pPr>
              <w:spacing w:after="0" w:before="0"/>
            </w:pPr>
            <w:r>
              <w:rPr>
                <w:rFonts w:ascii="Arial" w:cs="Arial" w:eastAsia="Arial" w:hAnsi="Arial"/>
                <w:sz w:val="20"/>
                <w:szCs w:val="20"/>
              </w:rPr>
              <w:t xml:space="preserve">detectEncoding() calls fsPromises.readFile(filePath) — this loads the ENTIRE file into memory (up to 300 MB) before streaming even begins. This defeats the purpose of streaming and can cause OOM on large files or constrained hosts.</w:t>
            </w:r>
          </w:p>
        </w:tc>
      </w:tr>
    </w:tbl>
    <w:p>
      <w:pPr>
        <w:spacing w:after="0" w:before="0"/>
      </w:pPr>
      <w:r>
        <w:t xml:space="preserve"/>
      </w:r>
    </w:p>
    <w:p>
      <w:pPr>
        <w:spacing w:after="60" w:before="60"/>
      </w:pPr>
      <w:r>
        <w:rPr>
          <w:rFonts w:ascii="Arial" w:cs="Arial" w:eastAsia="Arial" w:hAnsi="Arial"/>
          <w:b w:val="false"/>
          <w:bCs w:val="false"/>
          <w:color w:val="000000"/>
          <w:sz w:val="22"/>
          <w:szCs w:val="22"/>
        </w:rPr>
        <w:t xml:space="preserve">Location: preprocessor.service.ts, detectEncoding() method.</w:t>
      </w:r>
    </w:p>
    <w:p>
      <w:pPr>
        <w:spacing w:after="0" w:before="0"/>
      </w:pPr>
      <w:r>
        <w:t xml:space="preserve"/>
      </w:r>
    </w:p>
    <w:p>
      <w:pPr>
        <w:spacing w:after="60" w:before="60"/>
      </w:pPr>
      <w:r>
        <w:rPr>
          <w:rFonts w:ascii="Arial" w:cs="Arial" w:eastAsia="Arial" w:hAnsi="Arial"/>
          <w:b/>
          <w:bCs/>
          <w:color w:val="000000"/>
          <w:sz w:val="22"/>
          <w:szCs w:val="22"/>
        </w:rPr>
        <w:t xml:space="preserve">Fix: Read only the first 4 bytes for BOM detection.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BUG #2</w:t>
            </w:r>
          </w:p>
        </w:tc>
        <w:tc>
          <w:tcPr>
            <w:tcW w:type="dxa" w:w="8280"/>
            <w:tcBorders>
              <w:top w:val="single" w:color="D9D9D9" w:sz="1"/>
              <w:left w:val="single" w:color="D9D9D9" w:sz="1"/>
              <w:bottom w:val="single" w:color="D9D9D9" w:sz="1"/>
              <w:right w:val="single" w:color="D9D9D9" w:sz="1"/>
            </w:tcBorders>
            <w:shd w:fill="FCE4D6" w:val="clear"/>
            <w:tcMar>
              <w:top w:type="dxa" w:w="80"/>
              <w:left w:type="dxa" w:w="160"/>
              <w:bottom w:type="dxa" w:w="80"/>
              <w:right w:type="dxa" w:w="120"/>
            </w:tcMar>
          </w:tcPr>
          <w:p>
            <w:pPr>
              <w:spacing w:after="0" w:before="0"/>
            </w:pPr>
            <w:r>
              <w:rPr>
                <w:rFonts w:ascii="Arial" w:cs="Arial" w:eastAsia="Arial" w:hAnsi="Arial"/>
                <w:sz w:val="20"/>
                <w:szCs w:val="20"/>
              </w:rPr>
              <w:t xml:space="preserve">The sliding window (fetchLogsInWindows) is count-based (skip by N rows), not time-based. A window of 5 000 logs could represent 30 seconds or 30 hours of real activity depending on log density. Temporal correlation detectors (e.g. lateralMovement at 1-hour window, dataExfil at 30-min window) may fire on events that are actually days apart within the same row-count window, causing false positives or missing real attacks that span window boundaries.</w:t>
            </w:r>
          </w:p>
        </w:tc>
      </w:tr>
    </w:tbl>
    <w:p>
      <w:pPr>
        <w:spacing w:after="0" w:before="0"/>
      </w:pPr>
      <w:r>
        <w:t xml:space="preserve"/>
      </w:r>
    </w:p>
    <w:p>
      <w:pPr>
        <w:spacing w:after="60" w:before="60"/>
      </w:pPr>
      <w:r>
        <w:rPr>
          <w:rFonts w:ascii="Arial" w:cs="Arial" w:eastAsia="Arial" w:hAnsi="Arial"/>
          <w:b/>
          <w:bCs/>
          <w:color w:val="000000"/>
          <w:sz w:val="22"/>
          <w:szCs w:val="22"/>
        </w:rPr>
        <w:t xml:space="preserve">Fix: Add a timestamp-based windowing mode and set a maximum time-span per window.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00000" w:sz="1"/>
              <w:left w:val="single" w:color="C00000" w:sz="1"/>
              <w:bottom w:val="single" w:color="C00000" w:sz="1"/>
              <w:right w:val="single" w:color="C00000"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BUG #3</w:t>
            </w:r>
          </w:p>
        </w:tc>
        <w:tc>
          <w:tcPr>
            <w:tcW w:type="dxa" w:w="8280"/>
            <w:tcBorders>
              <w:top w:val="single" w:color="D9D9D9" w:sz="1"/>
              <w:left w:val="single" w:color="D9D9D9" w:sz="1"/>
              <w:bottom w:val="single" w:color="D9D9D9" w:sz="1"/>
              <w:right w:val="single" w:color="D9D9D9" w:sz="1"/>
            </w:tcBorders>
            <w:shd w:fill="FCE4D6" w:val="clear"/>
            <w:tcMar>
              <w:top w:type="dxa" w:w="80"/>
              <w:left w:type="dxa" w:w="160"/>
              <w:bottom w:type="dxa" w:w="80"/>
              <w:right w:type="dxa" w:w="120"/>
            </w:tcMar>
          </w:tcPr>
          <w:p>
            <w:pPr>
              <w:spacing w:after="0" w:before="0"/>
            </w:pPr>
            <w:r>
              <w:rPr>
                <w:rFonts w:ascii="Arial" w:cs="Arial" w:eastAsia="Arial" w:hAnsi="Arial"/>
                <w:sz w:val="20"/>
                <w:szCs w:val="20"/>
              </w:rPr>
              <w:t xml:space="preserve">Correlation detectors have no persistent cross-window entity state. If an attacker performs reconnaissance in window 3 and exploitation in window 4, reconExploitationChain will NOT fire because each window is analyzed with a fresh AnalysisContext. Only attacks that fall within the same 5 000-log window are correlated.</w:t>
            </w:r>
          </w:p>
        </w:tc>
      </w:tr>
    </w:tbl>
    <w:p>
      <w:pPr>
        <w:spacing w:after="0" w:before="0"/>
      </w:pPr>
      <w:r>
        <w:t xml:space="preserve"/>
      </w:r>
    </w:p>
    <w:p>
      <w:pPr>
        <w:spacing w:after="60" w:before="60"/>
      </w:pPr>
      <w:r>
        <w:rPr>
          <w:rFonts w:ascii="Arial" w:cs="Arial" w:eastAsia="Arial" w:hAnsi="Arial"/>
          <w:b/>
          <w:bCs/>
          <w:color w:val="000000"/>
          <w:sz w:val="22"/>
          <w:szCs w:val="22"/>
        </w:rPr>
        <w:t xml:space="preserve">Fix: Maintain a Redis-backed entity state store between windows, or use a larger overlap.</w:t>
      </w:r>
    </w:p>
    <w:p>
      <w:pPr>
        <w:spacing w:after="0" w:before="0"/>
      </w:pPr>
      <w:r>
        <w:t xml:space="preserve"/>
      </w:r>
    </w:p>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5.2 Reliability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E26B0A" w:sz="1"/>
              <w:left w:val="single" w:color="E26B0A" w:sz="1"/>
              <w:bottom w:val="single" w:color="E26B0A" w:sz="1"/>
              <w:right w:val="single" w:color="E26B0A"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#1</w:t>
            </w:r>
          </w:p>
        </w:tc>
        <w:tc>
          <w:tcPr>
            <w:tcW w:type="dxa" w:w="8280"/>
            <w:tcBorders>
              <w:top w:val="single" w:color="D9D9D9" w:sz="1"/>
              <w:left w:val="single" w:color="D9D9D9" w:sz="1"/>
              <w:bottom w:val="single" w:color="D9D9D9" w:sz="1"/>
              <w:right w:val="single" w:color="D9D9D9" w:sz="1"/>
            </w:tcBorders>
            <w:shd w:fill="FFEB9C" w:val="clear"/>
            <w:tcMar>
              <w:top w:type="dxa" w:w="80"/>
              <w:left w:type="dxa" w:w="160"/>
              <w:bottom w:type="dxa" w:w="80"/>
              <w:right w:type="dxa" w:w="120"/>
            </w:tcMar>
          </w:tcPr>
          <w:p>
            <w:pPr>
              <w:spacing w:after="0" w:before="0"/>
            </w:pPr>
            <w:r>
              <w:rPr>
                <w:rFonts w:ascii="Arial" w:cs="Arial" w:eastAsia="Arial" w:hAnsi="Arial"/>
                <w:sz w:val="20"/>
                <w:szCs w:val="20"/>
              </w:rPr>
              <w:t xml:space="preserve">ML service is a hard dependency (skipOnServiceDown: false). If the FastAPI ML service is unreachable (e.g. crashes, cold start timeout), the ENTIRE analysis job fails and must be retried from scratch. The ML analyzer does silently return [] on error, but the pipeline re-raises the exception. Verify behavior under ML service outage.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E26B0A" w:sz="1"/>
              <w:left w:val="single" w:color="E26B0A" w:sz="1"/>
              <w:bottom w:val="single" w:color="E26B0A" w:sz="1"/>
              <w:right w:val="single" w:color="E26B0A"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#2</w:t>
            </w:r>
          </w:p>
        </w:tc>
        <w:tc>
          <w:tcPr>
            <w:tcW w:type="dxa" w:w="8280"/>
            <w:tcBorders>
              <w:top w:val="single" w:color="D9D9D9" w:sz="1"/>
              <w:left w:val="single" w:color="D9D9D9" w:sz="1"/>
              <w:bottom w:val="single" w:color="D9D9D9" w:sz="1"/>
              <w:right w:val="single" w:color="D9D9D9" w:sz="1"/>
            </w:tcBorders>
            <w:shd w:fill="FFEB9C" w:val="clear"/>
            <w:tcMar>
              <w:top w:type="dxa" w:w="80"/>
              <w:left w:type="dxa" w:w="160"/>
              <w:bottom w:type="dxa" w:w="80"/>
              <w:right w:type="dxa" w:w="120"/>
            </w:tcMar>
          </w:tcPr>
          <w:p>
            <w:pPr>
              <w:spacing w:after="0" w:before="0"/>
            </w:pPr>
            <w:r>
              <w:rPr>
                <w:rFonts w:ascii="Arial" w:cs="Arial" w:eastAsia="Arial" w:hAnsi="Arial"/>
                <w:sz w:val="20"/>
                <w:szCs w:val="20"/>
              </w:rPr>
              <w:t xml:space="preserve">The LLM insight prompt caps findings at the top 60 (sorted by severity). For files generating 500+ findings, the LLM never sees the remaining alerts and its executive summary will be incomplete. OVERVIEW and ATTACK_PATTERN will miss context from lower-severity (but potentially important) findings.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E26B0A" w:sz="1"/>
              <w:left w:val="single" w:color="E26B0A" w:sz="1"/>
              <w:bottom w:val="single" w:color="E26B0A" w:sz="1"/>
              <w:right w:val="single" w:color="E26B0A"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#3</w:t>
            </w:r>
          </w:p>
        </w:tc>
        <w:tc>
          <w:tcPr>
            <w:tcW w:type="dxa" w:w="8280"/>
            <w:tcBorders>
              <w:top w:val="single" w:color="D9D9D9" w:sz="1"/>
              <w:left w:val="single" w:color="D9D9D9" w:sz="1"/>
              <w:bottom w:val="single" w:color="D9D9D9" w:sz="1"/>
              <w:right w:val="single" w:color="D9D9D9" w:sz="1"/>
            </w:tcBorders>
            <w:shd w:fill="FFEB9C" w:val="clear"/>
            <w:tcMar>
              <w:top w:type="dxa" w:w="80"/>
              <w:left w:type="dxa" w:w="160"/>
              <w:bottom w:type="dxa" w:w="80"/>
              <w:right w:type="dxa" w:w="120"/>
            </w:tcMar>
          </w:tcPr>
          <w:p>
            <w:pPr>
              <w:spacing w:after="0" w:before="0"/>
            </w:pPr>
            <w:r>
              <w:rPr>
                <w:rFonts w:ascii="Arial" w:cs="Arial" w:eastAsia="Arial" w:hAnsi="Arial"/>
                <w:sz w:val="20"/>
                <w:szCs w:val="20"/>
              </w:rPr>
              <w:t xml:space="preserve">Type detection only runs on the FIRST 1 000-line batch. If a log file has a different format in the first section than the body (e.g. comment headers, log rotation markers, mixed formats), all subsequent batches are parsed with the wrong parser. The adaptive retry loop helps, but only per-batch — it doesn't re-detect mid-file proactively.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E26B0A" w:sz="1"/>
              <w:left w:val="single" w:color="E26B0A" w:sz="1"/>
              <w:bottom w:val="single" w:color="E26B0A" w:sz="1"/>
              <w:right w:val="single" w:color="E26B0A" w:sz="1"/>
            </w:tcBorders>
            <w:shd w:fill="E26B0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#4</w:t>
            </w:r>
          </w:p>
        </w:tc>
        <w:tc>
          <w:tcPr>
            <w:tcW w:type="dxa" w:w="8280"/>
            <w:tcBorders>
              <w:top w:val="single" w:color="D9D9D9" w:sz="1"/>
              <w:left w:val="single" w:color="D9D9D9" w:sz="1"/>
              <w:bottom w:val="single" w:color="D9D9D9" w:sz="1"/>
              <w:right w:val="single" w:color="D9D9D9" w:sz="1"/>
            </w:tcBorders>
            <w:shd w:fill="FFEB9C" w:val="clear"/>
            <w:tcMar>
              <w:top w:type="dxa" w:w="80"/>
              <w:left w:type="dxa" w:w="160"/>
              <w:bottom w:type="dxa" w:w="80"/>
              <w:right w:type="dxa" w:w="120"/>
            </w:tcMar>
          </w:tcPr>
          <w:p>
            <w:pPr>
              <w:spacing w:after="0" w:before="0"/>
            </w:pPr>
            <w:r>
              <w:rPr>
                <w:rFonts w:ascii="Arial" w:cs="Arial" w:eastAsia="Arial" w:hAnsi="Arial"/>
                <w:sz w:val="20"/>
                <w:szCs w:val="20"/>
              </w:rPr>
              <w:t xml:space="preserve">Statistical analyzer baseline is computed within each 5 000-log window only. If a slow-escalating attack spans multiple windows, no single window will show a sufficient deviation from its local baseline to trigger a spike detector. The attacker can stay under the radar by keeping event rates just below the rolling threshold.</w:t>
            </w:r>
          </w:p>
        </w:tc>
      </w:tr>
    </w:tbl>
    <w:p>
      <w:pPr>
        <w:spacing w:after="0" w:before="0"/>
      </w:pPr>
      <w:r>
        <w:t xml:space="preserve"/>
      </w:r>
    </w:p>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5.3 Accuracy Limiters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Limitation</w:t>
            </w:r>
          </w:p>
        </w:tc>
        <w:tc>
          <w:tcPr>
            <w:tcW w:type="dxa" w:w="57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Impact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No Windows EVTX parser (binary format)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Windows security events must be pre-exported; keyvalue fallback loses many fields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No compressed file support (.gz, .zip)</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Most log rotation tools compress archives; must decompress manually before upload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Encoding detection only handles BOM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Latin-1, Windows-1252, or UTF-16 BE files without BOM will produce garbled output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Statistical baseline is in-window only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Slow attacks and gradual escalation will not cross the spike threshold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Single file per job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Cross-system correlation (e.g. web log + DB audit log) is not possible in one analysis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Geo-IP using offline DB (geoip-lite)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Offline DB can be months out of date; geo attribution of cloud/proxy IPs unreliable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LLM context is capped at 60 findings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Executive report misses lower-severity findings in large alert volumes</w:t>
            </w:r>
          </w:p>
        </w:tc>
      </w:tr>
    </w:tbl>
    <w:p>
      <w:pPr>
        <w:spacing w:after="0" w:before="0"/>
      </w:pPr>
      <w:r>
        <w:t xml:space="preserve"/>
      </w:r>
    </w:p>
    <w:p>
      <w:pPr>
        <w:spacing w:after="0" w:before="0"/>
      </w:pPr>
      <w:r>
        <w:t xml:space="preserve"/>
      </w:r>
    </w:p>
    <w:p>
      <w:pPr>
        <w:pStyle w:val="Heading1"/>
        <w:spacing w:after="120" w:before="360"/>
      </w:pPr>
      <w:r>
        <w:rPr>
          <w:rFonts w:ascii="Arial" w:cs="Arial" w:eastAsia="Arial" w:hAnsi="Arial"/>
          <w:b/>
          <w:bCs/>
          <w:color w:val="17375E"/>
          <w:sz w:val="32"/>
          <w:szCs w:val="32"/>
        </w:rPr>
        <w:t xml:space="preserve">6. Improvement Suggestions</w:t>
      </w:r>
    </w:p>
    <w:p>
      <w:pPr>
        <w:pStyle w:val="Heading2"/>
        <w:pBdr>
          <w:bottom w:val="single" w:color="2E75B6" w:sz="4" w:space="2"/>
        </w:pBdr>
        <w:spacing w:after="100" w:before="280"/>
      </w:pPr>
      <w:r>
        <w:rPr>
          <w:rFonts w:ascii="Arial" w:cs="Arial" w:eastAsia="Arial" w:hAnsi="Arial"/>
          <w:b/>
          <w:bCs/>
          <w:color w:val="2E75B6"/>
          <w:sz w:val="26"/>
          <w:szCs w:val="26"/>
        </w:rPr>
        <w:t xml:space="preserve">6.1 Priority Fixes (High Impact, Low Effort)</w:t>
      </w:r>
    </w:p>
    <w:p>
      <w:pPr>
        <w:pStyle w:val="ListParagraph"/>
        <w:numPr>
          <w:ilvl w:val="0"/>
          <w:numId w:val="3"/>
        </w:numPr>
        <w:spacing w:after="40" w:before="40"/>
      </w:pPr>
      <w:r>
        <w:rPr>
          <w:rFonts w:ascii="Arial" w:cs="Arial" w:eastAsia="Arial" w:hAnsi="Arial"/>
          <w:sz w:val="20"/>
          <w:szCs w:val="20"/>
        </w:rPr>
        <w:t xml:space="preserve">Fix detectEncoding() memory spike — replace readFile with a 4-byte buffer read for BOM only. This alone makes the 300 MB limit practical.</w:t>
      </w:r>
    </w:p>
    <w:p>
      <w:pPr>
        <w:pStyle w:val="ListParagraph"/>
        <w:numPr>
          <w:ilvl w:val="0"/>
          <w:numId w:val="3"/>
        </w:numPr>
        <w:spacing w:after="40" w:before="40"/>
      </w:pPr>
      <w:r>
        <w:rPr>
          <w:rFonts w:ascii="Arial" w:cs="Arial" w:eastAsia="Arial" w:hAnsi="Arial"/>
          <w:sz w:val="20"/>
          <w:szCs w:val="20"/>
        </w:rPr>
        <w:t xml:space="preserve">Add ML service circuit breaker — wrap MLClient in a circuit breaker (or set skipOnServiceDown: true) so an unavailable ML service degrades gracefully instead of killing the job.</w:t>
      </w:r>
    </w:p>
    <w:p>
      <w:pPr>
        <w:pStyle w:val="ListParagraph"/>
        <w:numPr>
          <w:ilvl w:val="0"/>
          <w:numId w:val="3"/>
        </w:numPr>
        <w:spacing w:after="40" w:before="40"/>
      </w:pPr>
      <w:r>
        <w:rPr>
          <w:rFonts w:ascii="Arial" w:cs="Arial" w:eastAsia="Arial" w:hAnsi="Arial"/>
          <w:sz w:val="20"/>
          <w:szCs w:val="20"/>
        </w:rPr>
        <w:t xml:space="preserve">Increase LLM context cap from 60 to 150–200 findings — or paginate into multiple LLM calls for large jobs and merge the results.</w:t>
      </w:r>
    </w:p>
    <w:p>
      <w:pPr>
        <w:pStyle w:val="ListParagraph"/>
        <w:numPr>
          <w:ilvl w:val="0"/>
          <w:numId w:val="3"/>
        </w:numPr>
        <w:spacing w:after="40" w:before="40"/>
      </w:pPr>
      <w:r>
        <w:rPr>
          <w:rFonts w:ascii="Arial" w:cs="Arial" w:eastAsia="Arial" w:hAnsi="Arial"/>
          <w:sz w:val="20"/>
          <w:szCs w:val="20"/>
        </w:rPr>
        <w:t xml:space="preserve">Add .gz / .bz2 decompression in the preprocessor — most real-world log archives are compressed. A simple stream pipe through zlib.createGunzip() before readline solves this.</w:t>
      </w:r>
    </w:p>
    <w:p>
      <w:pPr>
        <w:spacing w:after="0" w:before="0"/>
      </w:pPr>
      <w:r>
        <w:t xml:space="preserve"/>
      </w:r>
    </w:p>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6.2 Architecture Improvements (Medium Effort)</w:t>
      </w:r>
    </w:p>
    <w:p>
      <w:pPr>
        <w:pStyle w:val="ListParagraph"/>
        <w:numPr>
          <w:ilvl w:val="0"/>
          <w:numId w:val="3"/>
        </w:numPr>
        <w:spacing w:after="40" w:before="40"/>
      </w:pPr>
      <w:r>
        <w:rPr>
          <w:rFonts w:ascii="Arial" w:cs="Arial" w:eastAsia="Arial" w:hAnsi="Arial"/>
          <w:sz w:val="20"/>
          <w:szCs w:val="20"/>
        </w:rPr>
        <w:t xml:space="preserve">Add time-based windowing alongside the row-count window. Store the earliest and latest timestamp of each window and validate that temporal correlation detectors only fire when the events fall within the configured detection time window.</w:t>
      </w:r>
    </w:p>
    <w:p>
      <w:pPr>
        <w:pStyle w:val="ListParagraph"/>
        <w:numPr>
          <w:ilvl w:val="0"/>
          <w:numId w:val="3"/>
        </w:numPr>
        <w:spacing w:after="40" w:before="40"/>
      </w:pPr>
      <w:r>
        <w:rPr>
          <w:rFonts w:ascii="Arial" w:cs="Arial" w:eastAsia="Arial" w:hAnsi="Arial"/>
          <w:sz w:val="20"/>
          <w:szCs w:val="20"/>
        </w:rPr>
        <w:t xml:space="preserve">Implement Redis-based cross-window entity state. After each window, serialize IP/user state (auth failure count, endpoints seen, last timestamp) to Redis with a TTL matching the longest correlation window (1 hour). The next window reads and merges this state before building AnalysisContext.</w:t>
      </w:r>
    </w:p>
    <w:p>
      <w:pPr>
        <w:pStyle w:val="ListParagraph"/>
        <w:numPr>
          <w:ilvl w:val="0"/>
          <w:numId w:val="3"/>
        </w:numPr>
        <w:spacing w:after="40" w:before="40"/>
      </w:pPr>
      <w:r>
        <w:rPr>
          <w:rFonts w:ascii="Arial" w:cs="Arial" w:eastAsia="Arial" w:hAnsi="Arial"/>
          <w:sz w:val="20"/>
          <w:szCs w:val="20"/>
        </w:rPr>
        <w:t xml:space="preserve">Pipeline streaming: consider piping normalization output directly into the analysis stage rather than writing all normalized logs to PostgreSQL first and re-reading. This would eliminate the double-I/O bottleneck for large files.</w:t>
      </w:r>
    </w:p>
    <w:p>
      <w:pPr>
        <w:pStyle w:val="ListParagraph"/>
        <w:numPr>
          <w:ilvl w:val="0"/>
          <w:numId w:val="3"/>
        </w:numPr>
        <w:spacing w:after="40" w:before="40"/>
      </w:pPr>
      <w:r>
        <w:rPr>
          <w:rFonts w:ascii="Arial" w:cs="Arial" w:eastAsia="Arial" w:hAnsi="Arial"/>
          <w:sz w:val="20"/>
          <w:szCs w:val="20"/>
        </w:rPr>
        <w:t xml:space="preserve">Add a Windows Event Log text parser (not just a detector). Windows event text exports have a known structure; a dedicated parser would extract EventID, Level, Source, and Account fields reliably instead of relying on keyvalue splitting.</w:t>
      </w:r>
    </w:p>
    <w:p>
      <w:pPr>
        <w:spacing w:after="0" w:before="0"/>
      </w:pPr>
      <w:r>
        <w:t xml:space="preserve"/>
      </w:r>
    </w:p>
    <w:p>
      <w:pPr>
        <w:spacing w:after="0" w:before="0"/>
      </w:pPr>
      <w:r>
        <w:t xml:space="preserve"/>
      </w:r>
    </w:p>
    <w:p>
      <w:pPr>
        <w:pStyle w:val="Heading2"/>
        <w:pBdr>
          <w:bottom w:val="single" w:color="2E75B6" w:sz="4" w:space="2"/>
        </w:pBdr>
        <w:spacing w:after="100" w:before="280"/>
      </w:pPr>
      <w:r>
        <w:rPr>
          <w:rFonts w:ascii="Arial" w:cs="Arial" w:eastAsia="Arial" w:hAnsi="Arial"/>
          <w:b/>
          <w:bCs/>
          <w:color w:val="2E75B6"/>
          <w:sz w:val="26"/>
          <w:szCs w:val="26"/>
        </w:rPr>
        <w:t xml:space="preserve">6.3 Feature Additions (Lower Priority)</w:t>
      </w:r>
    </w:p>
    <w:p>
      <w:pPr>
        <w:pStyle w:val="ListParagraph"/>
        <w:numPr>
          <w:ilvl w:val="0"/>
          <w:numId w:val="3"/>
        </w:numPr>
        <w:spacing w:after="40" w:before="40"/>
      </w:pPr>
      <w:r>
        <w:rPr>
          <w:rFonts w:ascii="Arial" w:cs="Arial" w:eastAsia="Arial" w:hAnsi="Arial"/>
          <w:sz w:val="20"/>
          <w:szCs w:val="20"/>
        </w:rPr>
        <w:t xml:space="preserve">Multi-file job support: allow uploading multiple log files (e.g. web server + auth log + firewall) that are analyzed together. This dramatically improves correlation accuracy for multi-system attacks.</w:t>
      </w:r>
    </w:p>
    <w:p>
      <w:pPr>
        <w:pStyle w:val="ListParagraph"/>
        <w:numPr>
          <w:ilvl w:val="0"/>
          <w:numId w:val="3"/>
        </w:numPr>
        <w:spacing w:after="40" w:before="40"/>
      </w:pPr>
      <w:r>
        <w:rPr>
          <w:rFonts w:ascii="Arial" w:cs="Arial" w:eastAsia="Arial" w:hAnsi="Arial"/>
          <w:sz w:val="20"/>
          <w:szCs w:val="20"/>
        </w:rPr>
        <w:t xml:space="preserve">User-configurable thresholds: expose the analyzerConfig values (brute force threshold, z-score multiplier, off-hours window) through a job-level settings API so users can tune for their environment.</w:t>
      </w:r>
    </w:p>
    <w:p>
      <w:pPr>
        <w:pStyle w:val="ListParagraph"/>
        <w:numPr>
          <w:ilvl w:val="0"/>
          <w:numId w:val="3"/>
        </w:numPr>
        <w:spacing w:after="40" w:before="40"/>
      </w:pPr>
      <w:r>
        <w:rPr>
          <w:rFonts w:ascii="Arial" w:cs="Arial" w:eastAsia="Arial" w:hAnsi="Arial"/>
          <w:sz w:val="20"/>
          <w:szCs w:val="20"/>
        </w:rPr>
        <w:t xml:space="preserve">Incremental baseline learning: persist per-user / per-IP baselines across jobs. The first file establishes the baseline; subsequent files are scored against it. This turns statistical analysis from in-window to true behavioral baselining.</w:t>
      </w:r>
    </w:p>
    <w:p>
      <w:pPr>
        <w:pStyle w:val="ListParagraph"/>
        <w:numPr>
          <w:ilvl w:val="0"/>
          <w:numId w:val="3"/>
        </w:numPr>
        <w:spacing w:after="40" w:before="40"/>
      </w:pPr>
      <w:r>
        <w:rPr>
          <w:rFonts w:ascii="Arial" w:cs="Arial" w:eastAsia="Arial" w:hAnsi="Arial"/>
          <w:sz w:val="20"/>
          <w:szCs w:val="20"/>
        </w:rPr>
        <w:t xml:space="preserve">Expand scanner bot signatures: 9 tool signatures is minimal. Consider integrating a curated user-agent blocklist (e.g. CrowdSec or AbuseIPDB lookup on flagged IPs).</w:t>
      </w:r>
    </w:p>
    <w:p>
      <w:pPr>
        <w:pStyle w:val="ListParagraph"/>
        <w:numPr>
          <w:ilvl w:val="0"/>
          <w:numId w:val="3"/>
        </w:numPr>
        <w:spacing w:after="40" w:before="40"/>
      </w:pPr>
      <w:r>
        <w:rPr>
          <w:rFonts w:ascii="Arial" w:cs="Arial" w:eastAsia="Arial" w:hAnsi="Arial"/>
          <w:sz w:val="20"/>
          <w:szCs w:val="20"/>
        </w:rPr>
        <w:t xml:space="preserve">Add PCAP parser support (Suricata-generated JSON logs from packet capture): this is already partially supported through the Suricata detector but explicitly calling it out as a supported format would broaden the addressable use cases.</w:t>
      </w:r>
    </w:p>
    <w:p>
      <w:pPr>
        <w:spacing w:after="0" w:before="0"/>
      </w:pPr>
      <w:r>
        <w:t xml:space="preserve"/>
      </w:r>
    </w:p>
    <w:p>
      <w:pPr>
        <w:spacing w:after="0" w:before="0"/>
      </w:pPr>
      <w:r>
        <w:t xml:space="preserve"/>
      </w:r>
    </w:p>
    <w:p>
      <w:pPr>
        <w:pStyle w:val="Heading1"/>
        <w:spacing w:after="120" w:before="360"/>
      </w:pPr>
      <w:r>
        <w:rPr>
          <w:rFonts w:ascii="Arial" w:cs="Arial" w:eastAsia="Arial" w:hAnsi="Arial"/>
          <w:b/>
          <w:bCs/>
          <w:color w:val="17375E"/>
          <w:sz w:val="32"/>
          <w:szCs w:val="32"/>
        </w:rPr>
        <w:t xml:space="preserve">7.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c>
          <w:tcPr>
            <w:tcW w:type="dxa" w:w="24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Dimension</w:t>
            </w:r>
          </w:p>
        </w:tc>
        <w:tc>
          <w:tcPr>
            <w:tcW w:type="dxa" w:w="476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Current State</w:t>
            </w:r>
          </w:p>
        </w:tc>
        <w:tc>
          <w:tcPr>
            <w:tcW w:type="dxa" w:w="2200"/>
            <w:tcBorders>
              <w:top w:val="single" w:color="17375E" w:sz="1"/>
              <w:left w:val="single" w:color="17375E" w:sz="1"/>
              <w:bottom w:val="single" w:color="17375E" w:sz="1"/>
              <w:right w:val="single" w:color="17375E" w:sz="1"/>
            </w:tcBorders>
            <w:shd w:fill="17375E"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Rating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File size support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Up to 300 MB (streaming, memory-safe EXCEPT for encoding detection bug)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Good — fix the readFile bug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Line capacity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~50K–1.2M lines depending on format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Good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Log format coverage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13 formats; 11 with dedicated parsers; 2 fallbacks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Good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Detection breadth</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27 detectors across 5 complementary engines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Very Good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Rule-based accuracy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~90–96% precision on known signatures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Excellent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Statistical accuracy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~72–82% precision (in-window baseline)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Good — improves with cross-window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Correlation accuracy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~75–85% precision (single-window only — cross-window attacks missed)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Fair — needs cross-window state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ML accuracy</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~68–78% (unsupervised, no training labels)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Good for anomaly detection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Overall system accuracy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~80–88% on well-supported formats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Good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Processing speed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~1–3 min (small) to ~50–90 min (max 300 MB)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Acceptable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Report quality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13 insight types; AI executive summary; geo-attribution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Very Good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Resilience</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Resumable pipeline; finding deduplication; adaptive parser retry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19"/>
                <w:szCs w:val="19"/>
              </w:rPr>
              <w:t xml:space="preserve">Good — improve ML fallback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Scalability ceiling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Single-file, single-node; DB write bottleneck at 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19"/>
                <w:szCs w:val="19"/>
              </w:rPr>
              <w:t xml:space="preserve">Fair — streaming pipeline would help</w:t>
            </w:r>
          </w:p>
        </w:tc>
      </w:tr>
    </w:tbl>
    <w:p>
      <w:pPr>
        <w:spacing w:after="0" w:before="0"/>
      </w:pPr>
      <w:r>
        <w:t xml:space="preserve"/>
      </w:r>
    </w:p>
    <w:p>
      <w:pPr>
        <w:spacing w:after="0" w:before="0"/>
      </w:pPr>
      <w:r>
        <w:t xml:space="preserve"/>
      </w:r>
    </w:p>
    <w:p>
      <w:pPr>
        <w:pBdr>
          <w:top w:val="single" w:color="17375E" w:sz="4" w:space="4"/>
        </w:pBdr>
        <w:spacing w:after="120" w:before="240"/>
      </w:pPr>
      <w:r>
        <w:rPr>
          <w:rFonts w:ascii="Arial" w:cs="Arial" w:eastAsia="Arial" w:hAnsi="Arial"/>
          <w:color w:val="888888"/>
          <w:sz w:val="16"/>
          <w:szCs w:val="16"/>
        </w:rPr>
        <w:t xml:space="preserve">Sentinel IDS Backend — Evaluation Report | Generated by Claude (Anthropic)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7375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2026-06-03T05:46:11.209Z</dcterms:created>
  <dcterms:modified xsi:type="dcterms:W3CDTF">2026-06-03T05:46:11.209Z</dcterms:modified>
</cp:coreProperties>
</file>

<file path=docProps/custom.xml><?xml version="1.0" encoding="utf-8"?>
<Properties xmlns="http://schemas.openxmlformats.org/officeDocument/2006/custom-properties" xmlns:vt="http://schemas.openxmlformats.org/officeDocument/2006/docPropsVTypes"/>
</file>