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E069" w14:textId="77777777" w:rsidR="006B66D2" w:rsidRPr="00943B97" w:rsidRDefault="00943B97" w:rsidP="00943B97">
      <w:pPr>
        <w:pStyle w:val="Sansinterligne"/>
        <w:jc w:val="center"/>
        <w:rPr>
          <w:b/>
          <w:sz w:val="22"/>
          <w:szCs w:val="22"/>
        </w:rPr>
      </w:pPr>
      <w:r w:rsidRPr="00943B97">
        <w:rPr>
          <w:b/>
          <w:sz w:val="22"/>
          <w:szCs w:val="22"/>
        </w:rPr>
        <w:t>MANE CONFIDENTIALITY POLICY</w:t>
      </w:r>
    </w:p>
    <w:p w14:paraId="1BF2E06A" w14:textId="77777777" w:rsidR="00943B97" w:rsidRPr="00943B97" w:rsidRDefault="00943B97" w:rsidP="00943B97">
      <w:pPr>
        <w:pStyle w:val="Sansinterligne"/>
        <w:jc w:val="center"/>
        <w:rPr>
          <w:i/>
          <w:sz w:val="22"/>
          <w:szCs w:val="22"/>
        </w:rPr>
      </w:pPr>
      <w:r w:rsidRPr="00943B97">
        <w:rPr>
          <w:i/>
          <w:sz w:val="22"/>
          <w:szCs w:val="22"/>
        </w:rPr>
        <w:t>Frequently Asked Questions</w:t>
      </w:r>
    </w:p>
    <w:p w14:paraId="1BF2E06B" w14:textId="77777777" w:rsidR="00943B97" w:rsidRPr="00E41086" w:rsidRDefault="00943B97" w:rsidP="00943B97">
      <w:pPr>
        <w:pStyle w:val="Sansinterligne"/>
        <w:jc w:val="both"/>
        <w:rPr>
          <w:szCs w:val="22"/>
        </w:rPr>
      </w:pPr>
    </w:p>
    <w:p w14:paraId="1BF2E06C" w14:textId="77777777" w:rsidR="00943B97" w:rsidRPr="00FA22EE" w:rsidRDefault="00943B97" w:rsidP="00FA22EE">
      <w:pPr>
        <w:pStyle w:val="Sansinterligne"/>
        <w:numPr>
          <w:ilvl w:val="0"/>
          <w:numId w:val="2"/>
        </w:numPr>
        <w:ind w:left="284" w:hanging="284"/>
        <w:jc w:val="both"/>
        <w:rPr>
          <w:b/>
          <w:i/>
          <w:sz w:val="22"/>
          <w:szCs w:val="22"/>
        </w:rPr>
      </w:pPr>
      <w:r w:rsidRPr="00FA22EE">
        <w:rPr>
          <w:b/>
          <w:i/>
          <w:sz w:val="22"/>
          <w:szCs w:val="22"/>
        </w:rPr>
        <w:t>What is the purpose of a confidentiality agreement?</w:t>
      </w:r>
    </w:p>
    <w:p w14:paraId="1BF2E06E" w14:textId="062412B6" w:rsidR="00943B97" w:rsidRDefault="00943B97" w:rsidP="00FA22EE">
      <w:pPr>
        <w:pStyle w:val="Sansinterligne"/>
        <w:ind w:left="284"/>
        <w:jc w:val="both"/>
        <w:rPr>
          <w:sz w:val="22"/>
          <w:szCs w:val="22"/>
        </w:rPr>
      </w:pPr>
      <w:r>
        <w:rPr>
          <w:sz w:val="22"/>
          <w:szCs w:val="22"/>
        </w:rPr>
        <w:t>A confidentiality or “non-disclosure” agreement – abbreviated as CDA or NDA – is used to protect confidential and proprietary information.</w:t>
      </w:r>
      <w:r w:rsidR="007D1328">
        <w:rPr>
          <w:sz w:val="22"/>
          <w:szCs w:val="22"/>
        </w:rPr>
        <w:t xml:space="preserve">  It requires that the counterparty keep the information secret, prohibits the counterparty from exploiting the information for its economic advantage, and establishes that all ownership rights</w:t>
      </w:r>
      <w:r w:rsidR="00057789">
        <w:rPr>
          <w:sz w:val="22"/>
          <w:szCs w:val="22"/>
        </w:rPr>
        <w:t xml:space="preserve"> remain with the original party.</w:t>
      </w:r>
    </w:p>
    <w:p w14:paraId="1BF2E06F" w14:textId="77777777" w:rsidR="00943B97" w:rsidRPr="003F3D8D" w:rsidRDefault="00943B97" w:rsidP="00FA22EE">
      <w:pPr>
        <w:pStyle w:val="Sansinterligne"/>
        <w:ind w:left="284" w:hanging="284"/>
        <w:jc w:val="both"/>
        <w:rPr>
          <w:sz w:val="22"/>
          <w:szCs w:val="22"/>
        </w:rPr>
      </w:pPr>
    </w:p>
    <w:p w14:paraId="1BF2E070" w14:textId="77777777" w:rsidR="00943B97" w:rsidRPr="00FA22EE" w:rsidRDefault="00943B97" w:rsidP="00FA22EE">
      <w:pPr>
        <w:pStyle w:val="Sansinterligne"/>
        <w:numPr>
          <w:ilvl w:val="0"/>
          <w:numId w:val="2"/>
        </w:numPr>
        <w:ind w:left="284" w:hanging="284"/>
        <w:jc w:val="both"/>
        <w:rPr>
          <w:b/>
          <w:i/>
          <w:sz w:val="22"/>
          <w:szCs w:val="22"/>
        </w:rPr>
      </w:pPr>
      <w:r w:rsidRPr="00FA22EE">
        <w:rPr>
          <w:b/>
          <w:i/>
          <w:sz w:val="22"/>
          <w:szCs w:val="22"/>
        </w:rPr>
        <w:t>When is a CDA needed?</w:t>
      </w:r>
    </w:p>
    <w:p w14:paraId="1BF2E072" w14:textId="4D5C3A45" w:rsidR="00943B97" w:rsidRDefault="00943B97" w:rsidP="00FA22EE">
      <w:pPr>
        <w:pStyle w:val="Sansinterligne"/>
        <w:ind w:left="284"/>
        <w:jc w:val="both"/>
        <w:rPr>
          <w:sz w:val="22"/>
          <w:szCs w:val="22"/>
        </w:rPr>
      </w:pPr>
      <w:r>
        <w:rPr>
          <w:sz w:val="22"/>
          <w:szCs w:val="22"/>
        </w:rPr>
        <w:t>When Mane will share confidential information with another person or entity.  Also, when someone will observe or learn about Mane’s confidential information.</w:t>
      </w:r>
      <w:r w:rsidR="008617CD">
        <w:rPr>
          <w:sz w:val="22"/>
          <w:szCs w:val="22"/>
        </w:rPr>
        <w:t xml:space="preserve"> </w:t>
      </w:r>
      <w:r w:rsidR="008617CD" w:rsidRPr="008617CD">
        <w:rPr>
          <w:sz w:val="22"/>
          <w:szCs w:val="22"/>
        </w:rPr>
        <w:t>Additionally</w:t>
      </w:r>
      <w:r w:rsidR="00495613">
        <w:rPr>
          <w:sz w:val="22"/>
          <w:szCs w:val="22"/>
        </w:rPr>
        <w:t>,</w:t>
      </w:r>
      <w:r w:rsidR="008617CD" w:rsidRPr="008617CD">
        <w:rPr>
          <w:sz w:val="22"/>
          <w:szCs w:val="22"/>
        </w:rPr>
        <w:t xml:space="preserve"> when any of the parties (MANE and Counterpart</w:t>
      </w:r>
      <w:r w:rsidR="005D046F">
        <w:rPr>
          <w:sz w:val="22"/>
          <w:szCs w:val="22"/>
        </w:rPr>
        <w:t>y</w:t>
      </w:r>
      <w:r w:rsidR="008617CD" w:rsidRPr="008617CD">
        <w:rPr>
          <w:sz w:val="22"/>
          <w:szCs w:val="22"/>
        </w:rPr>
        <w:t>) wish to disclose confidential information to each other</w:t>
      </w:r>
      <w:r w:rsidR="008617CD">
        <w:rPr>
          <w:sz w:val="22"/>
          <w:szCs w:val="22"/>
        </w:rPr>
        <w:t>.</w:t>
      </w:r>
    </w:p>
    <w:p w14:paraId="1BF2E073" w14:textId="77777777" w:rsidR="00943B97" w:rsidRDefault="00943B97" w:rsidP="00FA22EE">
      <w:pPr>
        <w:pStyle w:val="Sansinterligne"/>
        <w:ind w:left="284" w:hanging="284"/>
        <w:jc w:val="both"/>
        <w:rPr>
          <w:sz w:val="22"/>
          <w:szCs w:val="22"/>
        </w:rPr>
      </w:pPr>
    </w:p>
    <w:p w14:paraId="1BF2E074" w14:textId="77777777" w:rsidR="00943B97" w:rsidRPr="00FA22EE" w:rsidRDefault="00943B97" w:rsidP="00FA22EE">
      <w:pPr>
        <w:pStyle w:val="Sansinterligne"/>
        <w:numPr>
          <w:ilvl w:val="0"/>
          <w:numId w:val="2"/>
        </w:numPr>
        <w:ind w:left="284" w:hanging="284"/>
        <w:jc w:val="both"/>
        <w:rPr>
          <w:b/>
          <w:i/>
          <w:sz w:val="22"/>
          <w:szCs w:val="22"/>
        </w:rPr>
      </w:pPr>
      <w:r w:rsidRPr="00FA22EE">
        <w:rPr>
          <w:b/>
          <w:i/>
          <w:sz w:val="22"/>
          <w:szCs w:val="22"/>
        </w:rPr>
        <w:t>What is confidential information?</w:t>
      </w:r>
    </w:p>
    <w:p w14:paraId="1BF2E076" w14:textId="682006BB" w:rsidR="00943B97" w:rsidRDefault="00CB7832" w:rsidP="00FA22EE">
      <w:pPr>
        <w:pStyle w:val="Sansinterligne"/>
        <w:ind w:left="284"/>
        <w:jc w:val="both"/>
        <w:rPr>
          <w:sz w:val="22"/>
          <w:szCs w:val="22"/>
        </w:rPr>
      </w:pPr>
      <w:r>
        <w:rPr>
          <w:sz w:val="22"/>
          <w:szCs w:val="22"/>
        </w:rPr>
        <w:t>C</w:t>
      </w:r>
      <w:r w:rsidR="00943B97">
        <w:rPr>
          <w:sz w:val="22"/>
          <w:szCs w:val="22"/>
        </w:rPr>
        <w:t xml:space="preserve">onfidential information is </w:t>
      </w:r>
      <w:r>
        <w:rPr>
          <w:sz w:val="22"/>
          <w:szCs w:val="22"/>
        </w:rPr>
        <w:t xml:space="preserve">usually </w:t>
      </w:r>
      <w:r w:rsidR="00943B97">
        <w:rPr>
          <w:sz w:val="22"/>
          <w:szCs w:val="22"/>
        </w:rPr>
        <w:t xml:space="preserve">non-public information </w:t>
      </w:r>
      <w:r>
        <w:rPr>
          <w:sz w:val="22"/>
          <w:szCs w:val="22"/>
        </w:rPr>
        <w:t>for which misappropriation could</w:t>
      </w:r>
      <w:r w:rsidR="00943B97">
        <w:rPr>
          <w:sz w:val="22"/>
          <w:szCs w:val="22"/>
        </w:rPr>
        <w:t xml:space="preserve"> give a competitor a </w:t>
      </w:r>
      <w:r w:rsidR="00BC1955">
        <w:rPr>
          <w:sz w:val="22"/>
          <w:szCs w:val="22"/>
        </w:rPr>
        <w:t>competitive</w:t>
      </w:r>
      <w:r w:rsidR="00943B97">
        <w:rPr>
          <w:sz w:val="22"/>
          <w:szCs w:val="22"/>
        </w:rPr>
        <w:t xml:space="preserve"> advantage.</w:t>
      </w:r>
    </w:p>
    <w:p w14:paraId="1BF2E077" w14:textId="77777777" w:rsidR="00943B97" w:rsidRDefault="00943B97" w:rsidP="00FA22EE">
      <w:pPr>
        <w:pStyle w:val="Sansinterligne"/>
        <w:ind w:left="284" w:hanging="284"/>
        <w:jc w:val="both"/>
        <w:rPr>
          <w:sz w:val="22"/>
          <w:szCs w:val="22"/>
        </w:rPr>
      </w:pPr>
    </w:p>
    <w:p w14:paraId="1BF2E078" w14:textId="77777777" w:rsidR="00943B97" w:rsidRPr="00FA22EE" w:rsidRDefault="00943B97" w:rsidP="00FA22EE">
      <w:pPr>
        <w:pStyle w:val="Sansinterligne"/>
        <w:numPr>
          <w:ilvl w:val="0"/>
          <w:numId w:val="2"/>
        </w:numPr>
        <w:ind w:left="284" w:hanging="284"/>
        <w:jc w:val="both"/>
        <w:rPr>
          <w:b/>
          <w:i/>
          <w:sz w:val="22"/>
          <w:szCs w:val="22"/>
        </w:rPr>
      </w:pPr>
      <w:r w:rsidRPr="00FA22EE">
        <w:rPr>
          <w:b/>
          <w:i/>
          <w:sz w:val="22"/>
          <w:szCs w:val="22"/>
        </w:rPr>
        <w:t>What are some types of confidential information?</w:t>
      </w:r>
    </w:p>
    <w:p w14:paraId="1BF2E07A" w14:textId="794F1435" w:rsidR="00943B97" w:rsidRDefault="00CB7832" w:rsidP="00FA22EE">
      <w:pPr>
        <w:pStyle w:val="Sansinterligne"/>
        <w:ind w:left="284"/>
        <w:jc w:val="both"/>
        <w:rPr>
          <w:sz w:val="22"/>
          <w:szCs w:val="22"/>
        </w:rPr>
      </w:pPr>
      <w:r>
        <w:rPr>
          <w:sz w:val="22"/>
          <w:szCs w:val="22"/>
        </w:rPr>
        <w:t>Formulas, samples, processes and know-how are common examples.  Others could include: m</w:t>
      </w:r>
      <w:r w:rsidR="00943B97" w:rsidRPr="00943B97">
        <w:rPr>
          <w:sz w:val="22"/>
          <w:szCs w:val="22"/>
        </w:rPr>
        <w:t xml:space="preserve">ethods, ideas, concepts, techniques, research, experimental work, developments, inventions (whether or not patentable), scientific and clinical information, design details, drawings, </w:t>
      </w:r>
      <w:r w:rsidR="0046135F">
        <w:rPr>
          <w:sz w:val="22"/>
          <w:szCs w:val="22"/>
        </w:rPr>
        <w:t xml:space="preserve">diagrams, </w:t>
      </w:r>
      <w:r w:rsidR="00943B97" w:rsidRPr="00943B97">
        <w:rPr>
          <w:sz w:val="22"/>
          <w:szCs w:val="22"/>
        </w:rPr>
        <w:t xml:space="preserve">engineering, specifications, ingredients, chemical composition, recipes, customer </w:t>
      </w:r>
      <w:r w:rsidR="0046135F">
        <w:rPr>
          <w:sz w:val="22"/>
          <w:szCs w:val="22"/>
        </w:rPr>
        <w:t>or</w:t>
      </w:r>
      <w:r w:rsidR="00F07BAF">
        <w:rPr>
          <w:sz w:val="22"/>
          <w:szCs w:val="22"/>
        </w:rPr>
        <w:t>/and</w:t>
      </w:r>
      <w:r w:rsidR="0046135F">
        <w:rPr>
          <w:sz w:val="22"/>
          <w:szCs w:val="22"/>
        </w:rPr>
        <w:t xml:space="preserve"> supplier </w:t>
      </w:r>
      <w:r w:rsidR="00943B97" w:rsidRPr="00943B97">
        <w:rPr>
          <w:sz w:val="22"/>
          <w:szCs w:val="22"/>
        </w:rPr>
        <w:t>data, business records, financial information,</w:t>
      </w:r>
      <w:r w:rsidR="00E24BF7">
        <w:rPr>
          <w:sz w:val="22"/>
          <w:szCs w:val="22"/>
        </w:rPr>
        <w:t xml:space="preserve"> legal </w:t>
      </w:r>
      <w:r w:rsidR="001449AD">
        <w:rPr>
          <w:sz w:val="22"/>
          <w:szCs w:val="22"/>
        </w:rPr>
        <w:t xml:space="preserve">and/or corporate </w:t>
      </w:r>
      <w:r w:rsidR="00E24BF7">
        <w:rPr>
          <w:sz w:val="22"/>
          <w:szCs w:val="22"/>
        </w:rPr>
        <w:t>information,</w:t>
      </w:r>
      <w:r w:rsidR="00943B97" w:rsidRPr="00943B97">
        <w:rPr>
          <w:sz w:val="22"/>
          <w:szCs w:val="22"/>
        </w:rPr>
        <w:t xml:space="preserve"> sales data, sales analyses, forecasts, plans (business, staffing, product development, etc.), </w:t>
      </w:r>
      <w:r w:rsidR="001449AD">
        <w:rPr>
          <w:sz w:val="22"/>
          <w:szCs w:val="22"/>
        </w:rPr>
        <w:t xml:space="preserve">prices, </w:t>
      </w:r>
      <w:r w:rsidR="00992F9A">
        <w:rPr>
          <w:sz w:val="22"/>
          <w:szCs w:val="22"/>
        </w:rPr>
        <w:t>margins</w:t>
      </w:r>
      <w:r w:rsidR="00460F22">
        <w:rPr>
          <w:sz w:val="22"/>
          <w:szCs w:val="22"/>
        </w:rPr>
        <w:t xml:space="preserve">, </w:t>
      </w:r>
      <w:r w:rsidR="00943B97" w:rsidRPr="00943B97">
        <w:rPr>
          <w:sz w:val="22"/>
          <w:szCs w:val="22"/>
        </w:rPr>
        <w:t>strategy, equipment,</w:t>
      </w:r>
      <w:r w:rsidR="00DB5A4D">
        <w:rPr>
          <w:sz w:val="22"/>
          <w:szCs w:val="22"/>
        </w:rPr>
        <w:t xml:space="preserve"> technical specifications</w:t>
      </w:r>
      <w:r w:rsidR="00943B97" w:rsidRPr="00943B97">
        <w:rPr>
          <w:sz w:val="22"/>
          <w:szCs w:val="22"/>
        </w:rPr>
        <w:t xml:space="preserve"> incident reports, complaints, claims, </w:t>
      </w:r>
      <w:r w:rsidR="00DB5A4D">
        <w:rPr>
          <w:sz w:val="22"/>
          <w:szCs w:val="22"/>
        </w:rPr>
        <w:t xml:space="preserve">business arrangements, </w:t>
      </w:r>
      <w:r w:rsidR="00943B97" w:rsidRPr="00943B97">
        <w:rPr>
          <w:sz w:val="22"/>
          <w:szCs w:val="22"/>
        </w:rPr>
        <w:t xml:space="preserve">contracts, contract terms, </w:t>
      </w:r>
      <w:r w:rsidR="00F306E1">
        <w:rPr>
          <w:sz w:val="22"/>
          <w:szCs w:val="22"/>
        </w:rPr>
        <w:t>origin of products</w:t>
      </w:r>
      <w:r w:rsidR="00992F9A">
        <w:rPr>
          <w:sz w:val="22"/>
          <w:szCs w:val="22"/>
        </w:rPr>
        <w:t xml:space="preserve">, </w:t>
      </w:r>
      <w:r w:rsidR="00943B97" w:rsidRPr="00943B97">
        <w:rPr>
          <w:sz w:val="22"/>
          <w:szCs w:val="22"/>
        </w:rPr>
        <w:t>and reports.</w:t>
      </w:r>
    </w:p>
    <w:p w14:paraId="1BF2E07B" w14:textId="77777777" w:rsidR="00CB7832" w:rsidRDefault="00CB7832" w:rsidP="00FA22EE">
      <w:pPr>
        <w:pStyle w:val="Sansinterligne"/>
        <w:ind w:left="284" w:hanging="284"/>
        <w:jc w:val="both"/>
        <w:rPr>
          <w:sz w:val="22"/>
          <w:szCs w:val="22"/>
        </w:rPr>
      </w:pPr>
    </w:p>
    <w:p w14:paraId="72270272" w14:textId="77777777" w:rsidR="00BF3D9A" w:rsidRPr="00BF3D9A" w:rsidRDefault="00BF3D9A" w:rsidP="00BF3D9A">
      <w:pPr>
        <w:pStyle w:val="Sansinterligne"/>
        <w:numPr>
          <w:ilvl w:val="0"/>
          <w:numId w:val="2"/>
        </w:numPr>
        <w:jc w:val="both"/>
        <w:rPr>
          <w:b/>
          <w:i/>
          <w:sz w:val="22"/>
          <w:szCs w:val="22"/>
        </w:rPr>
      </w:pPr>
      <w:r w:rsidRPr="00BF3D9A">
        <w:rPr>
          <w:b/>
          <w:i/>
          <w:sz w:val="22"/>
          <w:szCs w:val="22"/>
        </w:rPr>
        <w:t>Which MANE entity or affiliate is the contracting party of the CDA?</w:t>
      </w:r>
    </w:p>
    <w:p w14:paraId="1339D656" w14:textId="5D95CB1F" w:rsidR="00BF3D9A" w:rsidRPr="00BF3D9A" w:rsidRDefault="00BF3D9A" w:rsidP="00BF3D9A">
      <w:pPr>
        <w:pStyle w:val="Sansinterligne"/>
        <w:ind w:left="284"/>
        <w:jc w:val="both"/>
        <w:rPr>
          <w:sz w:val="22"/>
          <w:szCs w:val="22"/>
        </w:rPr>
      </w:pPr>
      <w:r w:rsidRPr="00BF3D9A">
        <w:rPr>
          <w:sz w:val="22"/>
          <w:szCs w:val="22"/>
        </w:rPr>
        <w:t>The legal entity which employs the employees who will be disclosing the information to the counterparty should be the contracting entity.   If several MANE entities are involved, each should be contracting party.</w:t>
      </w:r>
    </w:p>
    <w:p w14:paraId="34BA4D0B" w14:textId="77777777" w:rsidR="00BF3D9A" w:rsidRPr="00BF3D9A" w:rsidRDefault="00BF3D9A" w:rsidP="00BF3D9A">
      <w:pPr>
        <w:pStyle w:val="Sansinterligne"/>
        <w:ind w:left="284"/>
        <w:jc w:val="both"/>
        <w:rPr>
          <w:sz w:val="22"/>
          <w:szCs w:val="22"/>
        </w:rPr>
      </w:pPr>
    </w:p>
    <w:p w14:paraId="1BF2E07C" w14:textId="2CE05219" w:rsidR="00CB7832" w:rsidRPr="00FA22EE" w:rsidRDefault="00CB7832" w:rsidP="00FA22EE">
      <w:pPr>
        <w:pStyle w:val="Sansinterligne"/>
        <w:numPr>
          <w:ilvl w:val="0"/>
          <w:numId w:val="2"/>
        </w:numPr>
        <w:ind w:left="284" w:hanging="284"/>
        <w:jc w:val="both"/>
        <w:rPr>
          <w:b/>
          <w:i/>
          <w:sz w:val="22"/>
          <w:szCs w:val="22"/>
        </w:rPr>
      </w:pPr>
      <w:r w:rsidRPr="00FA22EE">
        <w:rPr>
          <w:b/>
          <w:i/>
          <w:sz w:val="22"/>
          <w:szCs w:val="22"/>
        </w:rPr>
        <w:t>Who is responsible for managing the confidentiality agreement with the counterparty?</w:t>
      </w:r>
    </w:p>
    <w:p w14:paraId="1BF2E07E" w14:textId="503D4A80" w:rsidR="00CB7832" w:rsidRDefault="00CB7832" w:rsidP="00FA22EE">
      <w:pPr>
        <w:pStyle w:val="Sansinterligne"/>
        <w:ind w:left="284"/>
        <w:jc w:val="both"/>
        <w:rPr>
          <w:sz w:val="22"/>
          <w:szCs w:val="22"/>
        </w:rPr>
      </w:pPr>
      <w:r>
        <w:rPr>
          <w:sz w:val="22"/>
          <w:szCs w:val="22"/>
        </w:rPr>
        <w:t xml:space="preserve">Mane’s representative in the relationship with the counterparty is responsible for adherence to the Confidentiality Policy, including the follow-up obligations.  This individual is likewise responsible for </w:t>
      </w:r>
      <w:r w:rsidR="00C31FB4">
        <w:rPr>
          <w:sz w:val="22"/>
          <w:szCs w:val="22"/>
        </w:rPr>
        <w:t xml:space="preserve">being familiar with the rights and obligations of the </w:t>
      </w:r>
      <w:r w:rsidR="004C7F64">
        <w:rPr>
          <w:sz w:val="22"/>
          <w:szCs w:val="22"/>
        </w:rPr>
        <w:t>CDA and</w:t>
      </w:r>
      <w:r w:rsidR="00C31FB4">
        <w:rPr>
          <w:sz w:val="22"/>
          <w:szCs w:val="22"/>
        </w:rPr>
        <w:t xml:space="preserve"> </w:t>
      </w:r>
      <w:r>
        <w:rPr>
          <w:sz w:val="22"/>
          <w:szCs w:val="22"/>
        </w:rPr>
        <w:t>ensuring that Man</w:t>
      </w:r>
      <w:r w:rsidR="00C05F72">
        <w:rPr>
          <w:sz w:val="22"/>
          <w:szCs w:val="22"/>
        </w:rPr>
        <w:t>e observes all requirements of the agreement</w:t>
      </w:r>
      <w:r>
        <w:rPr>
          <w:sz w:val="22"/>
          <w:szCs w:val="22"/>
        </w:rPr>
        <w:t>.</w:t>
      </w:r>
    </w:p>
    <w:p w14:paraId="1BF2E07F" w14:textId="77777777" w:rsidR="00CB7832" w:rsidRPr="00FA22EE" w:rsidRDefault="00CB7832" w:rsidP="00FA22EE">
      <w:pPr>
        <w:pStyle w:val="Sansinterligne"/>
        <w:ind w:left="284" w:hanging="284"/>
        <w:jc w:val="both"/>
        <w:rPr>
          <w:b/>
          <w:sz w:val="22"/>
          <w:szCs w:val="22"/>
        </w:rPr>
      </w:pPr>
    </w:p>
    <w:p w14:paraId="1BF2E080" w14:textId="2BEF6D50" w:rsidR="00057789" w:rsidRPr="00FA22EE" w:rsidRDefault="00057789" w:rsidP="00FA22EE">
      <w:pPr>
        <w:pStyle w:val="Sansinterligne"/>
        <w:numPr>
          <w:ilvl w:val="0"/>
          <w:numId w:val="2"/>
        </w:numPr>
        <w:ind w:left="284" w:hanging="284"/>
        <w:jc w:val="both"/>
        <w:rPr>
          <w:b/>
          <w:i/>
          <w:sz w:val="22"/>
          <w:szCs w:val="22"/>
        </w:rPr>
      </w:pPr>
      <w:r w:rsidRPr="00FA22EE">
        <w:rPr>
          <w:b/>
          <w:i/>
          <w:sz w:val="22"/>
          <w:szCs w:val="22"/>
        </w:rPr>
        <w:t>How do I register a CDA?</w:t>
      </w:r>
    </w:p>
    <w:p w14:paraId="1BF2E082" w14:textId="3880A0A0" w:rsidR="00057789" w:rsidRDefault="00057789" w:rsidP="00FA22EE">
      <w:pPr>
        <w:pStyle w:val="Sansinterligne"/>
        <w:ind w:left="284"/>
        <w:jc w:val="both"/>
        <w:rPr>
          <w:sz w:val="22"/>
          <w:szCs w:val="22"/>
        </w:rPr>
      </w:pPr>
      <w:r>
        <w:rPr>
          <w:sz w:val="22"/>
          <w:szCs w:val="22"/>
        </w:rPr>
        <w:t xml:space="preserve">Every CDA – whether using Mane’s template or one received from a counterparty – must be immediately registered in the central </w:t>
      </w:r>
      <w:r w:rsidR="005B5233">
        <w:rPr>
          <w:sz w:val="22"/>
          <w:szCs w:val="22"/>
        </w:rPr>
        <w:t>r</w:t>
      </w:r>
      <w:r>
        <w:rPr>
          <w:sz w:val="22"/>
          <w:szCs w:val="22"/>
        </w:rPr>
        <w:t>egister</w:t>
      </w:r>
      <w:r w:rsidR="009E1F07">
        <w:rPr>
          <w:sz w:val="22"/>
          <w:szCs w:val="22"/>
        </w:rPr>
        <w:t xml:space="preserve"> on SharePoint in order t</w:t>
      </w:r>
      <w:r w:rsidR="00182D0B">
        <w:rPr>
          <w:sz w:val="22"/>
          <w:szCs w:val="22"/>
        </w:rPr>
        <w:t>o</w:t>
      </w:r>
      <w:r w:rsidR="009E1F07">
        <w:rPr>
          <w:sz w:val="22"/>
          <w:szCs w:val="22"/>
        </w:rPr>
        <w:t xml:space="preserve"> allocate</w:t>
      </w:r>
      <w:r w:rsidR="00182D0B">
        <w:rPr>
          <w:sz w:val="22"/>
          <w:szCs w:val="22"/>
        </w:rPr>
        <w:t xml:space="preserve"> a </w:t>
      </w:r>
      <w:r w:rsidR="00F86535">
        <w:rPr>
          <w:sz w:val="22"/>
          <w:szCs w:val="22"/>
        </w:rPr>
        <w:t>r</w:t>
      </w:r>
      <w:r w:rsidR="00182D0B">
        <w:rPr>
          <w:sz w:val="22"/>
          <w:szCs w:val="22"/>
        </w:rPr>
        <w:t>egister ID</w:t>
      </w:r>
      <w:r>
        <w:rPr>
          <w:sz w:val="22"/>
          <w:szCs w:val="22"/>
        </w:rPr>
        <w:t>.</w:t>
      </w:r>
      <w:r w:rsidR="008F59AE">
        <w:rPr>
          <w:sz w:val="22"/>
          <w:szCs w:val="22"/>
        </w:rPr>
        <w:t xml:space="preserve">  </w:t>
      </w:r>
    </w:p>
    <w:p w14:paraId="1BF2E084" w14:textId="63AD701B" w:rsidR="00950853" w:rsidRDefault="00950853" w:rsidP="00FA22EE">
      <w:pPr>
        <w:pStyle w:val="Sansinterligne"/>
        <w:ind w:left="284"/>
        <w:jc w:val="both"/>
        <w:rPr>
          <w:sz w:val="22"/>
          <w:szCs w:val="22"/>
        </w:rPr>
      </w:pPr>
      <w:r>
        <w:rPr>
          <w:sz w:val="22"/>
          <w:szCs w:val="22"/>
        </w:rPr>
        <w:t>Enter th</w:t>
      </w:r>
      <w:r w:rsidR="008F59AE">
        <w:rPr>
          <w:sz w:val="22"/>
          <w:szCs w:val="22"/>
        </w:rPr>
        <w:t>e</w:t>
      </w:r>
      <w:r>
        <w:rPr>
          <w:sz w:val="22"/>
          <w:szCs w:val="22"/>
        </w:rPr>
        <w:t xml:space="preserve"> reference ID in the footer of the </w:t>
      </w:r>
      <w:r w:rsidR="00B85741">
        <w:rPr>
          <w:sz w:val="22"/>
          <w:szCs w:val="22"/>
        </w:rPr>
        <w:t>agreement and</w:t>
      </w:r>
      <w:r>
        <w:rPr>
          <w:sz w:val="22"/>
          <w:szCs w:val="22"/>
        </w:rPr>
        <w:t xml:space="preserve"> mention it in any document used to disclose confidential information</w:t>
      </w:r>
      <w:r w:rsidR="0097323E">
        <w:rPr>
          <w:sz w:val="22"/>
          <w:szCs w:val="22"/>
        </w:rPr>
        <w:t xml:space="preserve">, </w:t>
      </w:r>
      <w:r w:rsidR="0097323E" w:rsidRPr="0097323E">
        <w:rPr>
          <w:sz w:val="22"/>
          <w:szCs w:val="22"/>
        </w:rPr>
        <w:t xml:space="preserve">including the </w:t>
      </w:r>
      <w:r w:rsidR="0097323E">
        <w:rPr>
          <w:sz w:val="22"/>
          <w:szCs w:val="22"/>
        </w:rPr>
        <w:t>sentence</w:t>
      </w:r>
      <w:r w:rsidR="0097323E" w:rsidRPr="0097323E">
        <w:rPr>
          <w:sz w:val="22"/>
          <w:szCs w:val="22"/>
        </w:rPr>
        <w:t xml:space="preserve"> "</w:t>
      </w:r>
      <w:r w:rsidR="0097323E">
        <w:rPr>
          <w:sz w:val="22"/>
          <w:szCs w:val="22"/>
        </w:rPr>
        <w:t>C</w:t>
      </w:r>
      <w:r w:rsidR="0097323E" w:rsidRPr="0097323E">
        <w:rPr>
          <w:sz w:val="22"/>
          <w:szCs w:val="22"/>
        </w:rPr>
        <w:t>onfidential information subject to the terms and conditions of contract No. [INCLUDE REFERENCE NUMBER]"</w:t>
      </w:r>
      <w:r>
        <w:rPr>
          <w:sz w:val="22"/>
          <w:szCs w:val="22"/>
        </w:rPr>
        <w:t>.</w:t>
      </w:r>
    </w:p>
    <w:p w14:paraId="1BF2E085" w14:textId="77777777" w:rsidR="00057789" w:rsidRDefault="00057789" w:rsidP="00FA22EE">
      <w:pPr>
        <w:pStyle w:val="Sansinterligne"/>
        <w:ind w:left="284" w:hanging="284"/>
        <w:jc w:val="both"/>
        <w:rPr>
          <w:sz w:val="22"/>
          <w:szCs w:val="22"/>
        </w:rPr>
      </w:pPr>
    </w:p>
    <w:p w14:paraId="1BF2E086" w14:textId="77777777" w:rsidR="00C05F72" w:rsidRPr="00FA22EE" w:rsidRDefault="00C05F72" w:rsidP="00FA22EE">
      <w:pPr>
        <w:pStyle w:val="Sansinterligne"/>
        <w:numPr>
          <w:ilvl w:val="0"/>
          <w:numId w:val="2"/>
        </w:numPr>
        <w:ind w:left="284" w:hanging="284"/>
        <w:jc w:val="both"/>
        <w:rPr>
          <w:b/>
          <w:i/>
          <w:sz w:val="22"/>
          <w:szCs w:val="22"/>
        </w:rPr>
      </w:pPr>
      <w:r w:rsidRPr="00FA22EE">
        <w:rPr>
          <w:b/>
          <w:i/>
          <w:sz w:val="22"/>
          <w:szCs w:val="22"/>
        </w:rPr>
        <w:t>Is the “designated representative” the same as the signatory?</w:t>
      </w:r>
    </w:p>
    <w:p w14:paraId="1BF2E088" w14:textId="15550C7D" w:rsidR="00C05F72" w:rsidRDefault="00C05F72" w:rsidP="00FA22EE">
      <w:pPr>
        <w:pStyle w:val="Sansinterligne"/>
        <w:ind w:left="284"/>
        <w:jc w:val="both"/>
        <w:rPr>
          <w:sz w:val="22"/>
          <w:szCs w:val="22"/>
        </w:rPr>
      </w:pPr>
      <w:r>
        <w:rPr>
          <w:sz w:val="22"/>
          <w:szCs w:val="22"/>
        </w:rPr>
        <w:t xml:space="preserve">No. The designated representative is the individual who is most directly responsible for managing the relationship and is the contact person for notices. The signatory is the individual authorized to sign </w:t>
      </w:r>
      <w:r w:rsidR="006A5148">
        <w:rPr>
          <w:sz w:val="22"/>
          <w:szCs w:val="22"/>
        </w:rPr>
        <w:t xml:space="preserve">the agreement </w:t>
      </w:r>
      <w:r>
        <w:rPr>
          <w:sz w:val="22"/>
          <w:szCs w:val="22"/>
        </w:rPr>
        <w:t>and bind the company.  Sometimes they are the same person, but often they are not.</w:t>
      </w:r>
    </w:p>
    <w:p w14:paraId="1BF2E089" w14:textId="77777777" w:rsidR="00C05F72" w:rsidRDefault="00C05F72" w:rsidP="00FA22EE">
      <w:pPr>
        <w:pStyle w:val="Sansinterligne"/>
        <w:ind w:left="284" w:hanging="284"/>
        <w:jc w:val="both"/>
        <w:rPr>
          <w:sz w:val="22"/>
          <w:szCs w:val="22"/>
        </w:rPr>
      </w:pPr>
    </w:p>
    <w:p w14:paraId="38B4EC7D" w14:textId="293BF04F" w:rsidR="00F10BE6" w:rsidRPr="00FA22EE" w:rsidRDefault="00F10BE6" w:rsidP="00FA22EE">
      <w:pPr>
        <w:pStyle w:val="Sansinterligne"/>
        <w:numPr>
          <w:ilvl w:val="0"/>
          <w:numId w:val="2"/>
        </w:numPr>
        <w:ind w:left="284" w:hanging="284"/>
        <w:jc w:val="both"/>
        <w:rPr>
          <w:b/>
          <w:i/>
          <w:sz w:val="22"/>
          <w:szCs w:val="22"/>
        </w:rPr>
      </w:pPr>
      <w:r w:rsidRPr="00FA22EE">
        <w:rPr>
          <w:b/>
          <w:i/>
          <w:sz w:val="22"/>
          <w:szCs w:val="22"/>
        </w:rPr>
        <w:t xml:space="preserve">Is it possible to review </w:t>
      </w:r>
      <w:r w:rsidR="00AA2243" w:rsidRPr="00FA22EE">
        <w:rPr>
          <w:b/>
          <w:i/>
          <w:sz w:val="22"/>
          <w:szCs w:val="22"/>
        </w:rPr>
        <w:t>c</w:t>
      </w:r>
      <w:r w:rsidRPr="00FA22EE">
        <w:rPr>
          <w:b/>
          <w:i/>
          <w:sz w:val="22"/>
          <w:szCs w:val="22"/>
        </w:rPr>
        <w:t>onfidentiality agreements sent by the counterpart</w:t>
      </w:r>
      <w:r w:rsidR="00B85741" w:rsidRPr="00FA22EE">
        <w:rPr>
          <w:b/>
          <w:i/>
          <w:sz w:val="22"/>
          <w:szCs w:val="22"/>
        </w:rPr>
        <w:t>y</w:t>
      </w:r>
      <w:r w:rsidRPr="00FA22EE">
        <w:rPr>
          <w:b/>
          <w:i/>
          <w:sz w:val="22"/>
          <w:szCs w:val="22"/>
        </w:rPr>
        <w:t>?</w:t>
      </w:r>
    </w:p>
    <w:p w14:paraId="02FDFCFF" w14:textId="6F3002BC" w:rsidR="001D38FD" w:rsidRPr="001D38FD" w:rsidRDefault="00F10BE6" w:rsidP="00FA22EE">
      <w:pPr>
        <w:pStyle w:val="Sansinterligne"/>
        <w:ind w:left="284"/>
        <w:jc w:val="both"/>
        <w:rPr>
          <w:iCs/>
          <w:sz w:val="22"/>
          <w:szCs w:val="22"/>
        </w:rPr>
      </w:pPr>
      <w:r w:rsidRPr="00B85741">
        <w:rPr>
          <w:iCs/>
          <w:sz w:val="22"/>
          <w:szCs w:val="22"/>
        </w:rPr>
        <w:t>Mane</w:t>
      </w:r>
      <w:r w:rsidR="00B85741">
        <w:rPr>
          <w:iCs/>
          <w:sz w:val="22"/>
          <w:szCs w:val="22"/>
        </w:rPr>
        <w:t>’s</w:t>
      </w:r>
      <w:r w:rsidRPr="00B85741">
        <w:rPr>
          <w:iCs/>
          <w:sz w:val="22"/>
          <w:szCs w:val="22"/>
        </w:rPr>
        <w:t xml:space="preserve"> representative should always seek the use </w:t>
      </w:r>
      <w:r w:rsidR="0038249F">
        <w:rPr>
          <w:iCs/>
          <w:sz w:val="22"/>
          <w:szCs w:val="22"/>
        </w:rPr>
        <w:t xml:space="preserve">of </w:t>
      </w:r>
      <w:r w:rsidRPr="00B85741">
        <w:rPr>
          <w:iCs/>
          <w:sz w:val="22"/>
          <w:szCs w:val="22"/>
        </w:rPr>
        <w:t>Mane</w:t>
      </w:r>
      <w:r w:rsidR="005D046F">
        <w:rPr>
          <w:iCs/>
          <w:sz w:val="22"/>
          <w:szCs w:val="22"/>
        </w:rPr>
        <w:t>’s</w:t>
      </w:r>
      <w:r w:rsidRPr="00B85741">
        <w:rPr>
          <w:iCs/>
          <w:sz w:val="22"/>
          <w:szCs w:val="22"/>
        </w:rPr>
        <w:t xml:space="preserve"> </w:t>
      </w:r>
      <w:r w:rsidR="009527F2">
        <w:rPr>
          <w:iCs/>
          <w:sz w:val="22"/>
          <w:szCs w:val="22"/>
        </w:rPr>
        <w:t>templates</w:t>
      </w:r>
      <w:r w:rsidR="0038249F">
        <w:rPr>
          <w:iCs/>
          <w:sz w:val="22"/>
          <w:szCs w:val="22"/>
        </w:rPr>
        <w:t xml:space="preserve">. However, when necessary, </w:t>
      </w:r>
      <w:r w:rsidRPr="00B85741">
        <w:rPr>
          <w:iCs/>
          <w:sz w:val="22"/>
          <w:szCs w:val="22"/>
        </w:rPr>
        <w:t xml:space="preserve">Mane will consider reviewing the </w:t>
      </w:r>
      <w:r w:rsidR="0018668F">
        <w:rPr>
          <w:iCs/>
          <w:sz w:val="22"/>
          <w:szCs w:val="22"/>
        </w:rPr>
        <w:t>counterparty’s</w:t>
      </w:r>
      <w:r w:rsidRPr="00B85741">
        <w:rPr>
          <w:iCs/>
          <w:sz w:val="22"/>
          <w:szCs w:val="22"/>
        </w:rPr>
        <w:t xml:space="preserve"> CDA.</w:t>
      </w:r>
      <w:r w:rsidR="0038249F">
        <w:rPr>
          <w:iCs/>
          <w:sz w:val="22"/>
          <w:szCs w:val="22"/>
        </w:rPr>
        <w:t xml:space="preserve"> In that case, </w:t>
      </w:r>
      <w:r w:rsidR="001D38FD" w:rsidRPr="001D38FD">
        <w:rPr>
          <w:iCs/>
          <w:sz w:val="22"/>
          <w:szCs w:val="22"/>
        </w:rPr>
        <w:t>it is the responsibility of Mane</w:t>
      </w:r>
      <w:r w:rsidR="001D38FD">
        <w:rPr>
          <w:iCs/>
          <w:sz w:val="22"/>
          <w:szCs w:val="22"/>
        </w:rPr>
        <w:t>’s</w:t>
      </w:r>
      <w:r w:rsidR="001D38FD" w:rsidRPr="001D38FD">
        <w:rPr>
          <w:iCs/>
          <w:sz w:val="22"/>
          <w:szCs w:val="22"/>
        </w:rPr>
        <w:t xml:space="preserve"> representative to read the entire document before submitting the document to be registered</w:t>
      </w:r>
      <w:r w:rsidR="0038249F">
        <w:rPr>
          <w:iCs/>
          <w:sz w:val="22"/>
          <w:szCs w:val="22"/>
        </w:rPr>
        <w:t xml:space="preserve">, and to provide Mane Legal &amp; IP Department their comments on the CDA and all necessary information to allow a proper review (Mane entities concerned, subject matter, </w:t>
      </w:r>
      <w:r w:rsidR="00A27613">
        <w:rPr>
          <w:iCs/>
          <w:sz w:val="22"/>
          <w:szCs w:val="22"/>
        </w:rPr>
        <w:t>retroactive effect, duration…).</w:t>
      </w:r>
    </w:p>
    <w:p w14:paraId="0EFA60F3" w14:textId="77777777" w:rsidR="00F10BE6" w:rsidRDefault="00F10BE6" w:rsidP="00FA22EE">
      <w:pPr>
        <w:pStyle w:val="Sansinterligne"/>
        <w:ind w:left="284" w:hanging="284"/>
        <w:jc w:val="both"/>
        <w:rPr>
          <w:i/>
          <w:sz w:val="22"/>
          <w:szCs w:val="22"/>
        </w:rPr>
      </w:pPr>
    </w:p>
    <w:p w14:paraId="1BF2E08A" w14:textId="7166C758" w:rsidR="007D1328" w:rsidRPr="00FA22EE" w:rsidRDefault="007D1328" w:rsidP="00FA22EE">
      <w:pPr>
        <w:pStyle w:val="Sansinterligne"/>
        <w:numPr>
          <w:ilvl w:val="0"/>
          <w:numId w:val="2"/>
        </w:numPr>
        <w:ind w:left="284" w:hanging="284"/>
        <w:jc w:val="both"/>
        <w:rPr>
          <w:b/>
          <w:i/>
          <w:sz w:val="22"/>
          <w:szCs w:val="22"/>
        </w:rPr>
      </w:pPr>
      <w:r w:rsidRPr="00FA22EE">
        <w:rPr>
          <w:b/>
          <w:i/>
          <w:sz w:val="22"/>
          <w:szCs w:val="22"/>
        </w:rPr>
        <w:lastRenderedPageBreak/>
        <w:t>Do I need to involve the Legal &amp; IP Department?</w:t>
      </w:r>
    </w:p>
    <w:p w14:paraId="1BF2E08C" w14:textId="70EDFDE2" w:rsidR="007D1328" w:rsidRDefault="007D1328" w:rsidP="00FA22EE">
      <w:pPr>
        <w:pStyle w:val="Sansinterligne"/>
        <w:ind w:left="284"/>
        <w:jc w:val="both"/>
        <w:rPr>
          <w:sz w:val="22"/>
          <w:szCs w:val="22"/>
        </w:rPr>
      </w:pPr>
      <w:r>
        <w:rPr>
          <w:sz w:val="22"/>
          <w:szCs w:val="22"/>
        </w:rPr>
        <w:t xml:space="preserve">Consultation of the Legal &amp; IP Department is not needed only if you use a Mane template and the counterparty signs without amendment.  </w:t>
      </w:r>
      <w:r w:rsidR="00DB5A4D">
        <w:rPr>
          <w:sz w:val="22"/>
          <w:szCs w:val="22"/>
        </w:rPr>
        <w:t xml:space="preserve">Legal is not checking the proper fill-in of a Mane template: it must be done by Mane’s representative in the relationship under his/her responsibility. </w:t>
      </w:r>
      <w:r>
        <w:rPr>
          <w:sz w:val="22"/>
          <w:szCs w:val="22"/>
        </w:rPr>
        <w:t>In all other cases – particularly including amendments proposed by the counterparty to Mane’s CDA</w:t>
      </w:r>
      <w:r w:rsidR="000B4B98">
        <w:rPr>
          <w:sz w:val="22"/>
          <w:szCs w:val="22"/>
        </w:rPr>
        <w:t xml:space="preserve"> proposal</w:t>
      </w:r>
      <w:r>
        <w:rPr>
          <w:sz w:val="22"/>
          <w:szCs w:val="22"/>
        </w:rPr>
        <w:t>, or if the counterparty submits its form – you must submit for review by Legal</w:t>
      </w:r>
      <w:r w:rsidR="00DB5A4D">
        <w:rPr>
          <w:sz w:val="22"/>
          <w:szCs w:val="22"/>
        </w:rPr>
        <w:t>, b</w:t>
      </w:r>
      <w:r>
        <w:rPr>
          <w:sz w:val="22"/>
          <w:szCs w:val="22"/>
        </w:rPr>
        <w:t>ut not until the agreement is properly registered in accordance with the Confidentiality Policy.</w:t>
      </w:r>
    </w:p>
    <w:p w14:paraId="3DE8A184" w14:textId="77777777" w:rsidR="00E41086" w:rsidRDefault="00E41086" w:rsidP="00FA22EE">
      <w:pPr>
        <w:pStyle w:val="Sansinterligne"/>
        <w:ind w:left="284" w:hanging="284"/>
        <w:jc w:val="both"/>
        <w:rPr>
          <w:sz w:val="22"/>
          <w:szCs w:val="22"/>
        </w:rPr>
      </w:pPr>
    </w:p>
    <w:p w14:paraId="1BF2E08E" w14:textId="1145097F" w:rsidR="004864A7" w:rsidRPr="00FA22EE" w:rsidRDefault="00FA22EE" w:rsidP="00FA22EE">
      <w:pPr>
        <w:pStyle w:val="Sansinterligne"/>
        <w:numPr>
          <w:ilvl w:val="0"/>
          <w:numId w:val="2"/>
        </w:numPr>
        <w:ind w:left="284" w:hanging="284"/>
        <w:jc w:val="both"/>
        <w:rPr>
          <w:b/>
          <w:i/>
          <w:sz w:val="22"/>
          <w:szCs w:val="22"/>
        </w:rPr>
      </w:pPr>
      <w:r>
        <w:rPr>
          <w:b/>
          <w:i/>
          <w:sz w:val="22"/>
          <w:szCs w:val="22"/>
        </w:rPr>
        <w:t xml:space="preserve"> </w:t>
      </w:r>
      <w:r w:rsidR="00A46E18" w:rsidRPr="00FA22EE">
        <w:rPr>
          <w:b/>
          <w:i/>
          <w:sz w:val="22"/>
          <w:szCs w:val="22"/>
        </w:rPr>
        <w:t>When completing Mane’s template, how do I define the “Subject Matter”?</w:t>
      </w:r>
    </w:p>
    <w:p w14:paraId="3108D5D5" w14:textId="0A7E82E5" w:rsidR="0037045E" w:rsidRDefault="00A46E18" w:rsidP="00FA22EE">
      <w:pPr>
        <w:pStyle w:val="Sansinterligne"/>
        <w:ind w:left="284"/>
        <w:jc w:val="both"/>
        <w:rPr>
          <w:sz w:val="22"/>
          <w:szCs w:val="22"/>
        </w:rPr>
      </w:pPr>
      <w:r>
        <w:rPr>
          <w:sz w:val="22"/>
          <w:szCs w:val="22"/>
        </w:rPr>
        <w:t>The Subject Matter describes the purpose of the exchange of confidential information with the counterparty.  It is especially important to de</w:t>
      </w:r>
      <w:r w:rsidR="00BC1955">
        <w:rPr>
          <w:sz w:val="22"/>
          <w:szCs w:val="22"/>
        </w:rPr>
        <w:t>fine this properly because it (</w:t>
      </w:r>
      <w:proofErr w:type="spellStart"/>
      <w:r w:rsidR="00BC1955">
        <w:rPr>
          <w:sz w:val="22"/>
          <w:szCs w:val="22"/>
        </w:rPr>
        <w:t>i</w:t>
      </w:r>
      <w:proofErr w:type="spellEnd"/>
      <w:r>
        <w:rPr>
          <w:sz w:val="22"/>
          <w:szCs w:val="22"/>
        </w:rPr>
        <w:t>) establishes what information is covered (i.e. only information shared that pertains to the Subject Matter is protected under the agreement), and (</w:t>
      </w:r>
      <w:r w:rsidR="00BC1955">
        <w:rPr>
          <w:sz w:val="22"/>
          <w:szCs w:val="22"/>
        </w:rPr>
        <w:t>ii</w:t>
      </w:r>
      <w:r>
        <w:rPr>
          <w:sz w:val="22"/>
          <w:szCs w:val="22"/>
        </w:rPr>
        <w:t>) limits how the other party can use the information (i.e. use of the confidential information is restricted to activities consistent with the Subject Matter).</w:t>
      </w:r>
      <w:r w:rsidR="006F40A4">
        <w:rPr>
          <w:sz w:val="22"/>
          <w:szCs w:val="22"/>
        </w:rPr>
        <w:t xml:space="preserve"> </w:t>
      </w:r>
      <w:r w:rsidR="00A0120B" w:rsidRPr="00A0120B">
        <w:rPr>
          <w:sz w:val="22"/>
          <w:szCs w:val="22"/>
        </w:rPr>
        <w:t xml:space="preserve">The </w:t>
      </w:r>
      <w:r w:rsidR="00796235">
        <w:rPr>
          <w:sz w:val="22"/>
          <w:szCs w:val="22"/>
        </w:rPr>
        <w:t>Subject Matter</w:t>
      </w:r>
      <w:r w:rsidR="00A0120B" w:rsidRPr="00A0120B">
        <w:rPr>
          <w:sz w:val="22"/>
          <w:szCs w:val="22"/>
        </w:rPr>
        <w:t xml:space="preserve"> must be defined precisely as much as possible</w:t>
      </w:r>
      <w:r w:rsidR="00796235">
        <w:rPr>
          <w:sz w:val="22"/>
          <w:szCs w:val="22"/>
        </w:rPr>
        <w:t xml:space="preserve"> in order to </w:t>
      </w:r>
      <w:r w:rsidR="00857B67">
        <w:rPr>
          <w:sz w:val="22"/>
          <w:szCs w:val="22"/>
        </w:rPr>
        <w:t>provide</w:t>
      </w:r>
      <w:r w:rsidR="001C0EB0">
        <w:rPr>
          <w:sz w:val="22"/>
          <w:szCs w:val="22"/>
        </w:rPr>
        <w:t xml:space="preserve"> </w:t>
      </w:r>
      <w:r w:rsidR="0037045E" w:rsidRPr="0037045E">
        <w:rPr>
          <w:sz w:val="22"/>
          <w:szCs w:val="22"/>
        </w:rPr>
        <w:t xml:space="preserve">clarity on the confidential information that is </w:t>
      </w:r>
      <w:r w:rsidR="00A27613">
        <w:rPr>
          <w:sz w:val="22"/>
          <w:szCs w:val="22"/>
        </w:rPr>
        <w:t>to be</w:t>
      </w:r>
      <w:r w:rsidR="0037045E" w:rsidRPr="0037045E">
        <w:rPr>
          <w:sz w:val="22"/>
          <w:szCs w:val="22"/>
        </w:rPr>
        <w:t xml:space="preserve"> protected.</w:t>
      </w:r>
    </w:p>
    <w:p w14:paraId="1BF2E092" w14:textId="36F47A54" w:rsidR="00A46E18" w:rsidRDefault="00A46E18" w:rsidP="00FA22EE">
      <w:pPr>
        <w:pStyle w:val="Sansinterligne"/>
        <w:ind w:left="284"/>
        <w:jc w:val="both"/>
        <w:rPr>
          <w:i/>
          <w:sz w:val="22"/>
          <w:szCs w:val="22"/>
        </w:rPr>
      </w:pPr>
      <w:r>
        <w:rPr>
          <w:sz w:val="22"/>
          <w:szCs w:val="22"/>
        </w:rPr>
        <w:t>Example:</w:t>
      </w:r>
      <w:r w:rsidR="007D1328">
        <w:rPr>
          <w:sz w:val="22"/>
          <w:szCs w:val="22"/>
        </w:rPr>
        <w:t xml:space="preserve">  </w:t>
      </w:r>
      <w:r w:rsidR="007D1328" w:rsidRPr="004328E9">
        <w:rPr>
          <w:i/>
          <w:sz w:val="22"/>
          <w:szCs w:val="22"/>
        </w:rPr>
        <w:t xml:space="preserve">The Parties intend to investigate a possible business relationship regarding Mane’s development and proposal of fragrance compositions and delivery systems thereof for integration by Customer into its own </w:t>
      </w:r>
      <w:r w:rsidR="00A27613">
        <w:rPr>
          <w:i/>
          <w:sz w:val="22"/>
          <w:szCs w:val="22"/>
        </w:rPr>
        <w:t xml:space="preserve">hair care </w:t>
      </w:r>
      <w:r w:rsidR="007D1328" w:rsidRPr="004328E9">
        <w:rPr>
          <w:i/>
          <w:sz w:val="22"/>
          <w:szCs w:val="22"/>
        </w:rPr>
        <w:t>products and shall commence mutual discussions relating thereto.</w:t>
      </w:r>
    </w:p>
    <w:p w14:paraId="556D1C34" w14:textId="1DD8FDB3" w:rsidR="007066A7" w:rsidRPr="00FA22EE" w:rsidRDefault="007066A7" w:rsidP="00FA22EE">
      <w:pPr>
        <w:pStyle w:val="Sansinterligne"/>
        <w:ind w:left="284"/>
        <w:jc w:val="both"/>
        <w:rPr>
          <w:b/>
          <w:bCs/>
          <w:sz w:val="20"/>
          <w:szCs w:val="20"/>
        </w:rPr>
      </w:pPr>
      <w:r w:rsidRPr="00FA22EE">
        <w:rPr>
          <w:b/>
          <w:bCs/>
          <w:sz w:val="20"/>
          <w:szCs w:val="20"/>
        </w:rPr>
        <w:t>PLEASE NOTE: The protection of the confidential information disclosed between the parties is NOT the Subject Matter</w:t>
      </w:r>
      <w:r w:rsidR="00C335D6" w:rsidRPr="00FA22EE">
        <w:rPr>
          <w:b/>
          <w:bCs/>
          <w:sz w:val="20"/>
          <w:szCs w:val="20"/>
        </w:rPr>
        <w:t>.</w:t>
      </w:r>
    </w:p>
    <w:p w14:paraId="1BF2E093" w14:textId="77777777" w:rsidR="004864A7" w:rsidRPr="00FA22EE" w:rsidRDefault="004864A7" w:rsidP="00FA22EE">
      <w:pPr>
        <w:pStyle w:val="Sansinterligne"/>
        <w:ind w:left="284" w:hanging="284"/>
        <w:jc w:val="both"/>
        <w:rPr>
          <w:b/>
          <w:sz w:val="20"/>
          <w:szCs w:val="20"/>
        </w:rPr>
      </w:pPr>
    </w:p>
    <w:p w14:paraId="4CD0F8D7" w14:textId="36B678CC" w:rsidR="00286164" w:rsidRDefault="00FA22EE" w:rsidP="00FA22EE">
      <w:pPr>
        <w:pStyle w:val="Sansinterligne"/>
        <w:numPr>
          <w:ilvl w:val="0"/>
          <w:numId w:val="2"/>
        </w:numPr>
        <w:ind w:left="284" w:hanging="284"/>
        <w:jc w:val="both"/>
        <w:rPr>
          <w:i/>
          <w:iCs/>
          <w:sz w:val="22"/>
          <w:szCs w:val="22"/>
        </w:rPr>
      </w:pPr>
      <w:r>
        <w:rPr>
          <w:b/>
          <w:iCs/>
          <w:sz w:val="22"/>
          <w:szCs w:val="22"/>
        </w:rPr>
        <w:t xml:space="preserve"> </w:t>
      </w:r>
      <w:r w:rsidR="00286164" w:rsidRPr="00FA22EE">
        <w:rPr>
          <w:b/>
          <w:iCs/>
          <w:sz w:val="22"/>
          <w:szCs w:val="22"/>
        </w:rPr>
        <w:t>For UD (f</w:t>
      </w:r>
      <w:r w:rsidR="00286164" w:rsidRPr="00FA22EE">
        <w:rPr>
          <w:b/>
          <w:i/>
          <w:iCs/>
          <w:sz w:val="22"/>
          <w:szCs w:val="22"/>
        </w:rPr>
        <w:t>ormula disclosure) CDAs, how can the Authorized Persons list be updated?</w:t>
      </w:r>
    </w:p>
    <w:p w14:paraId="48A8CCF3" w14:textId="77777777" w:rsidR="00286164" w:rsidRDefault="00286164" w:rsidP="00FA22EE">
      <w:pPr>
        <w:pStyle w:val="Sansinterligne"/>
        <w:ind w:left="284"/>
        <w:jc w:val="both"/>
        <w:rPr>
          <w:sz w:val="22"/>
          <w:szCs w:val="22"/>
        </w:rPr>
      </w:pPr>
      <w:r>
        <w:rPr>
          <w:sz w:val="22"/>
          <w:szCs w:val="22"/>
          <w:u w:val="single"/>
        </w:rPr>
        <w:t>Reorganization</w:t>
      </w:r>
      <w:r>
        <w:rPr>
          <w:sz w:val="22"/>
          <w:szCs w:val="22"/>
        </w:rPr>
        <w:t>:  The counterparty must notify Mane of any reorganization that affects the Authorized Persons (e.g., withdrawal, change of title, etc.).  Such individuals will no longer be Authorized Persons, unless agreed in writing by Mane.</w:t>
      </w:r>
    </w:p>
    <w:p w14:paraId="2C97A089" w14:textId="77777777" w:rsidR="00286164" w:rsidRPr="00286164" w:rsidRDefault="00286164" w:rsidP="00FA22EE">
      <w:pPr>
        <w:pStyle w:val="Sansinterligne"/>
        <w:ind w:left="284"/>
        <w:jc w:val="both"/>
        <w:rPr>
          <w:sz w:val="22"/>
          <w:szCs w:val="22"/>
        </w:rPr>
      </w:pPr>
      <w:r>
        <w:rPr>
          <w:sz w:val="22"/>
          <w:szCs w:val="22"/>
          <w:u w:val="single"/>
        </w:rPr>
        <w:t>Replacement</w:t>
      </w:r>
      <w:r>
        <w:rPr>
          <w:sz w:val="22"/>
          <w:szCs w:val="22"/>
        </w:rPr>
        <w:t xml:space="preserve">:  The counterparty may only replace an Authorized Person with </w:t>
      </w:r>
      <w:r w:rsidRPr="00286164">
        <w:rPr>
          <w:sz w:val="22"/>
          <w:szCs w:val="22"/>
        </w:rPr>
        <w:t>another employee who is responsible for toxicological, safety or regulatory affairs within the counterparty Regulatory Affairs Department or equivalent.  The counterparty should issue a letter on company letterhead, and the new Authorized Person must sign, committing personally to comply with the CDA in replacement of the named former Authorized Person.  The individual being replaced will no longer be an Authorized Person.</w:t>
      </w:r>
    </w:p>
    <w:p w14:paraId="6326C17B" w14:textId="60D964B2" w:rsidR="00897710" w:rsidRDefault="00286164" w:rsidP="00FA22EE">
      <w:pPr>
        <w:pStyle w:val="Sansinterligne"/>
        <w:ind w:left="284"/>
        <w:jc w:val="both"/>
        <w:rPr>
          <w:sz w:val="22"/>
          <w:szCs w:val="22"/>
        </w:rPr>
      </w:pPr>
      <w:r w:rsidRPr="00286164">
        <w:rPr>
          <w:sz w:val="22"/>
          <w:szCs w:val="22"/>
          <w:u w:val="single"/>
        </w:rPr>
        <w:t>Addition</w:t>
      </w:r>
      <w:r w:rsidRPr="00286164">
        <w:rPr>
          <w:sz w:val="22"/>
          <w:szCs w:val="22"/>
        </w:rPr>
        <w:t>:  If the counterparty seeks to add a new Authorized Person, such person should be an employee of the counterparty responsible for toxicological, safety or regulatory affairs within the counterparty Regulatory Affairs Department or equivalent.  A written amendment to the CDA’s Appendix, signed by both parties, is required.  The overall list needs to remain limited in number.</w:t>
      </w:r>
    </w:p>
    <w:p w14:paraId="6B57624A" w14:textId="77777777" w:rsidR="00897710" w:rsidRDefault="00897710" w:rsidP="00FA22EE">
      <w:pPr>
        <w:pStyle w:val="Sansinterligne"/>
        <w:ind w:left="284" w:hanging="284"/>
        <w:jc w:val="both"/>
        <w:rPr>
          <w:sz w:val="22"/>
          <w:szCs w:val="22"/>
        </w:rPr>
      </w:pPr>
    </w:p>
    <w:p w14:paraId="2AE98D9F" w14:textId="2EDEDC4E" w:rsidR="007D36A3" w:rsidRPr="00FA22EE" w:rsidRDefault="00FA22EE" w:rsidP="00FA22EE">
      <w:pPr>
        <w:pStyle w:val="Sansinterligne"/>
        <w:numPr>
          <w:ilvl w:val="0"/>
          <w:numId w:val="2"/>
        </w:numPr>
        <w:ind w:left="284" w:hanging="284"/>
        <w:jc w:val="both"/>
        <w:rPr>
          <w:b/>
          <w:i/>
          <w:sz w:val="22"/>
          <w:szCs w:val="22"/>
        </w:rPr>
      </w:pPr>
      <w:r>
        <w:rPr>
          <w:b/>
          <w:i/>
          <w:sz w:val="22"/>
          <w:szCs w:val="22"/>
        </w:rPr>
        <w:t xml:space="preserve"> Is it</w:t>
      </w:r>
      <w:r w:rsidR="007D36A3" w:rsidRPr="00FA22EE">
        <w:rPr>
          <w:b/>
          <w:i/>
          <w:sz w:val="22"/>
          <w:szCs w:val="22"/>
        </w:rPr>
        <w:t xml:space="preserve"> possible to extend the term of a CDA already signed?</w:t>
      </w:r>
    </w:p>
    <w:p w14:paraId="6BA52A74" w14:textId="5D32DCC0" w:rsidR="00327394" w:rsidRDefault="007D36A3" w:rsidP="00327394">
      <w:pPr>
        <w:pStyle w:val="Sansinterligne"/>
        <w:ind w:left="284"/>
        <w:jc w:val="both"/>
        <w:rPr>
          <w:sz w:val="22"/>
          <w:szCs w:val="22"/>
        </w:rPr>
      </w:pPr>
      <w:r w:rsidRPr="006F3ADB">
        <w:rPr>
          <w:sz w:val="22"/>
          <w:szCs w:val="22"/>
        </w:rPr>
        <w:t xml:space="preserve">Yes, </w:t>
      </w:r>
      <w:r w:rsidR="00A22849">
        <w:rPr>
          <w:sz w:val="22"/>
          <w:szCs w:val="22"/>
        </w:rPr>
        <w:t>please use the</w:t>
      </w:r>
      <w:r w:rsidRPr="006F3ADB">
        <w:rPr>
          <w:sz w:val="22"/>
          <w:szCs w:val="22"/>
        </w:rPr>
        <w:t xml:space="preserve"> amendment template to renew </w:t>
      </w:r>
      <w:r w:rsidR="00897710">
        <w:rPr>
          <w:sz w:val="22"/>
          <w:szCs w:val="22"/>
        </w:rPr>
        <w:t xml:space="preserve">a </w:t>
      </w:r>
      <w:r w:rsidRPr="006F3ADB">
        <w:rPr>
          <w:sz w:val="22"/>
          <w:szCs w:val="22"/>
        </w:rPr>
        <w:t xml:space="preserve">CDA in </w:t>
      </w:r>
      <w:hyperlink r:id="rId11" w:history="1">
        <w:r w:rsidR="00C25AE9" w:rsidRPr="00C25AE9">
          <w:rPr>
            <w:rStyle w:val="Lienhypertexte"/>
            <w:sz w:val="22"/>
            <w:szCs w:val="22"/>
          </w:rPr>
          <w:t>French</w:t>
        </w:r>
      </w:hyperlink>
      <w:r w:rsidRPr="006F3ADB">
        <w:rPr>
          <w:sz w:val="22"/>
          <w:szCs w:val="22"/>
        </w:rPr>
        <w:t xml:space="preserve">, </w:t>
      </w:r>
      <w:hyperlink r:id="rId12" w:history="1">
        <w:r w:rsidR="00C25AE9" w:rsidRPr="00C25AE9">
          <w:rPr>
            <w:rStyle w:val="Lienhypertexte"/>
            <w:sz w:val="22"/>
            <w:szCs w:val="22"/>
          </w:rPr>
          <w:t>English</w:t>
        </w:r>
      </w:hyperlink>
      <w:r w:rsidRPr="006F3ADB">
        <w:rPr>
          <w:sz w:val="22"/>
          <w:szCs w:val="22"/>
        </w:rPr>
        <w:t xml:space="preserve"> or </w:t>
      </w:r>
      <w:hyperlink r:id="rId13" w:history="1">
        <w:r w:rsidR="00C25AE9" w:rsidRPr="00C25AE9">
          <w:rPr>
            <w:rStyle w:val="Lienhypertexte"/>
            <w:sz w:val="22"/>
            <w:szCs w:val="22"/>
          </w:rPr>
          <w:t>Spanish</w:t>
        </w:r>
      </w:hyperlink>
      <w:r w:rsidRPr="006F3ADB">
        <w:rPr>
          <w:sz w:val="22"/>
          <w:szCs w:val="22"/>
        </w:rPr>
        <w:t xml:space="preserve"> on </w:t>
      </w:r>
      <w:r w:rsidR="00897710" w:rsidRPr="00897710">
        <w:rPr>
          <w:sz w:val="22"/>
          <w:szCs w:val="22"/>
        </w:rPr>
        <w:t>SharePoint</w:t>
      </w:r>
      <w:r w:rsidR="00A22849">
        <w:rPr>
          <w:sz w:val="22"/>
          <w:szCs w:val="22"/>
        </w:rPr>
        <w:t xml:space="preserve"> and register it like any other CDA</w:t>
      </w:r>
      <w:r w:rsidR="00BE5CFB" w:rsidRPr="00BE5CFB">
        <w:rPr>
          <w:sz w:val="22"/>
          <w:szCs w:val="22"/>
        </w:rPr>
        <w:t>.</w:t>
      </w:r>
    </w:p>
    <w:p w14:paraId="08B4BDCD" w14:textId="77777777" w:rsidR="00327394" w:rsidRDefault="00327394" w:rsidP="00327394">
      <w:pPr>
        <w:pStyle w:val="Sansinterligne"/>
        <w:ind w:left="284"/>
        <w:jc w:val="both"/>
        <w:rPr>
          <w:sz w:val="22"/>
          <w:szCs w:val="22"/>
        </w:rPr>
      </w:pPr>
    </w:p>
    <w:p w14:paraId="346755A7" w14:textId="6E201BEF" w:rsidR="00327394" w:rsidRPr="00327394" w:rsidRDefault="00327394" w:rsidP="00327394">
      <w:pPr>
        <w:pStyle w:val="Sansinterligne"/>
        <w:numPr>
          <w:ilvl w:val="0"/>
          <w:numId w:val="2"/>
        </w:numPr>
        <w:jc w:val="both"/>
        <w:rPr>
          <w:sz w:val="22"/>
          <w:szCs w:val="22"/>
        </w:rPr>
      </w:pPr>
      <w:r>
        <w:rPr>
          <w:b/>
          <w:bCs/>
          <w:i/>
          <w:iCs/>
          <w:sz w:val="22"/>
          <w:szCs w:val="22"/>
        </w:rPr>
        <w:t>Is it possible to add another party to a CDA already signed?</w:t>
      </w:r>
    </w:p>
    <w:p w14:paraId="08BAD7E6" w14:textId="02B635A9" w:rsidR="00327394" w:rsidRPr="00327394" w:rsidRDefault="00327394" w:rsidP="00327394">
      <w:pPr>
        <w:pStyle w:val="Sansinterligne"/>
        <w:ind w:left="360"/>
        <w:jc w:val="both"/>
        <w:rPr>
          <w:sz w:val="22"/>
          <w:szCs w:val="22"/>
        </w:rPr>
      </w:pPr>
      <w:r>
        <w:rPr>
          <w:sz w:val="22"/>
          <w:szCs w:val="22"/>
        </w:rPr>
        <w:t xml:space="preserve">Yes, please use the amendment template to renew a CDA in </w:t>
      </w:r>
      <w:hyperlink r:id="rId14" w:history="1">
        <w:r w:rsidRPr="005E561E">
          <w:rPr>
            <w:rStyle w:val="Lienhypertexte"/>
            <w:sz w:val="22"/>
            <w:szCs w:val="22"/>
          </w:rPr>
          <w:t>French</w:t>
        </w:r>
      </w:hyperlink>
      <w:r>
        <w:rPr>
          <w:sz w:val="22"/>
          <w:szCs w:val="22"/>
        </w:rPr>
        <w:t xml:space="preserve">, </w:t>
      </w:r>
      <w:hyperlink r:id="rId15" w:history="1">
        <w:r w:rsidRPr="005E561E">
          <w:rPr>
            <w:rStyle w:val="Lienhypertexte"/>
            <w:sz w:val="22"/>
            <w:szCs w:val="22"/>
          </w:rPr>
          <w:t>English</w:t>
        </w:r>
      </w:hyperlink>
      <w:r>
        <w:rPr>
          <w:sz w:val="22"/>
          <w:szCs w:val="22"/>
        </w:rPr>
        <w:t xml:space="preserve"> or </w:t>
      </w:r>
      <w:hyperlink r:id="rId16" w:history="1">
        <w:r w:rsidRPr="00F906B6">
          <w:rPr>
            <w:rStyle w:val="Lienhypertexte"/>
            <w:sz w:val="22"/>
            <w:szCs w:val="22"/>
          </w:rPr>
          <w:t>Spanish</w:t>
        </w:r>
      </w:hyperlink>
      <w:r>
        <w:rPr>
          <w:sz w:val="22"/>
          <w:szCs w:val="22"/>
        </w:rPr>
        <w:t xml:space="preserve"> on SharePoint and register it like any other CDA.</w:t>
      </w:r>
    </w:p>
    <w:p w14:paraId="70F47EB0" w14:textId="77777777" w:rsidR="007D36A3" w:rsidRDefault="007D36A3" w:rsidP="00FA22EE">
      <w:pPr>
        <w:pStyle w:val="Sansinterligne"/>
        <w:ind w:left="284" w:hanging="284"/>
        <w:jc w:val="both"/>
        <w:rPr>
          <w:i/>
          <w:sz w:val="22"/>
          <w:szCs w:val="22"/>
        </w:rPr>
      </w:pPr>
    </w:p>
    <w:p w14:paraId="1BF2E094" w14:textId="208A0962" w:rsidR="00CB7832" w:rsidRPr="00FA22EE" w:rsidRDefault="00FA22EE" w:rsidP="002F4CC4">
      <w:pPr>
        <w:pStyle w:val="Sansinterligne"/>
        <w:numPr>
          <w:ilvl w:val="0"/>
          <w:numId w:val="2"/>
        </w:numPr>
        <w:jc w:val="both"/>
        <w:rPr>
          <w:b/>
          <w:i/>
          <w:sz w:val="22"/>
          <w:szCs w:val="22"/>
        </w:rPr>
      </w:pPr>
      <w:r>
        <w:rPr>
          <w:b/>
          <w:i/>
          <w:sz w:val="22"/>
          <w:szCs w:val="22"/>
        </w:rPr>
        <w:t xml:space="preserve"> </w:t>
      </w:r>
      <w:r w:rsidR="00CB7832" w:rsidRPr="00FA22EE">
        <w:rPr>
          <w:b/>
          <w:i/>
          <w:sz w:val="22"/>
          <w:szCs w:val="22"/>
        </w:rPr>
        <w:t>What if Mane already has a CDA with the counterparty?</w:t>
      </w:r>
    </w:p>
    <w:p w14:paraId="1BF2E098" w14:textId="56D14CF5" w:rsidR="00CB7832" w:rsidRDefault="00CB7832" w:rsidP="00FA22EE">
      <w:pPr>
        <w:pStyle w:val="Sansinterligne"/>
        <w:ind w:left="284"/>
        <w:jc w:val="both"/>
        <w:rPr>
          <w:sz w:val="22"/>
          <w:szCs w:val="22"/>
        </w:rPr>
      </w:pPr>
      <w:r>
        <w:rPr>
          <w:sz w:val="22"/>
          <w:szCs w:val="22"/>
        </w:rPr>
        <w:t>It must be checked to confirm: (</w:t>
      </w:r>
      <w:proofErr w:type="spellStart"/>
      <w:r w:rsidR="00BC1955">
        <w:rPr>
          <w:sz w:val="22"/>
          <w:szCs w:val="22"/>
        </w:rPr>
        <w:t>i</w:t>
      </w:r>
      <w:proofErr w:type="spellEnd"/>
      <w:r>
        <w:rPr>
          <w:sz w:val="22"/>
          <w:szCs w:val="22"/>
        </w:rPr>
        <w:t>) the “subject matter” statement (i.e. scope) is broad enough to protect the contemplated confidential exchange; (</w:t>
      </w:r>
      <w:r w:rsidR="00BC1955">
        <w:rPr>
          <w:sz w:val="22"/>
          <w:szCs w:val="22"/>
        </w:rPr>
        <w:t>ii</w:t>
      </w:r>
      <w:r>
        <w:rPr>
          <w:sz w:val="22"/>
          <w:szCs w:val="22"/>
        </w:rPr>
        <w:t xml:space="preserve">) it remains active and will continue to be valid during the period needed for the particular project.  </w:t>
      </w:r>
      <w:r w:rsidR="004864A7">
        <w:rPr>
          <w:sz w:val="22"/>
          <w:szCs w:val="22"/>
        </w:rPr>
        <w:t>Even if a new CDA is needed, it may nevertheless be necessary to state in the new contract that the old CDA remains valid</w:t>
      </w:r>
      <w:r w:rsidR="00CC5E90">
        <w:rPr>
          <w:sz w:val="22"/>
          <w:szCs w:val="22"/>
        </w:rPr>
        <w:t>,</w:t>
      </w:r>
      <w:r w:rsidR="004864A7">
        <w:rPr>
          <w:sz w:val="22"/>
          <w:szCs w:val="22"/>
        </w:rPr>
        <w:t xml:space="preserve"> so it is not superseded</w:t>
      </w:r>
      <w:r w:rsidR="00FA22EE">
        <w:rPr>
          <w:sz w:val="22"/>
          <w:szCs w:val="22"/>
        </w:rPr>
        <w:t xml:space="preserve">. </w:t>
      </w:r>
      <w:r>
        <w:rPr>
          <w:sz w:val="22"/>
          <w:szCs w:val="22"/>
        </w:rPr>
        <w:t>If any doubts, confer with the Legal &amp; IP Department.</w:t>
      </w:r>
    </w:p>
    <w:p w14:paraId="1BF2E099" w14:textId="77777777" w:rsidR="00CB7832" w:rsidRDefault="00CB7832" w:rsidP="00FA22EE">
      <w:pPr>
        <w:pStyle w:val="Sansinterligne"/>
        <w:ind w:left="284" w:hanging="284"/>
        <w:jc w:val="both"/>
        <w:rPr>
          <w:sz w:val="22"/>
          <w:szCs w:val="22"/>
        </w:rPr>
      </w:pPr>
    </w:p>
    <w:p w14:paraId="1BF2E09A" w14:textId="77777777" w:rsidR="00CB7832" w:rsidRPr="00FA22EE" w:rsidRDefault="00CB7832" w:rsidP="002F4CC4">
      <w:pPr>
        <w:pStyle w:val="Sansinterligne"/>
        <w:numPr>
          <w:ilvl w:val="0"/>
          <w:numId w:val="2"/>
        </w:numPr>
        <w:jc w:val="both"/>
        <w:rPr>
          <w:b/>
          <w:i/>
          <w:sz w:val="22"/>
          <w:szCs w:val="22"/>
        </w:rPr>
      </w:pPr>
      <w:r w:rsidRPr="00FA22EE">
        <w:rPr>
          <w:b/>
          <w:i/>
          <w:sz w:val="22"/>
          <w:szCs w:val="22"/>
        </w:rPr>
        <w:t>Is a CDA needed for a facility visit?</w:t>
      </w:r>
    </w:p>
    <w:p w14:paraId="1BF2E09C" w14:textId="67ABAC50" w:rsidR="00CB7832" w:rsidRDefault="00CB7832" w:rsidP="00FA22EE">
      <w:pPr>
        <w:pStyle w:val="Sansinterligne"/>
        <w:ind w:left="284"/>
        <w:jc w:val="both"/>
        <w:rPr>
          <w:sz w:val="22"/>
          <w:szCs w:val="22"/>
        </w:rPr>
      </w:pPr>
      <w:r>
        <w:rPr>
          <w:sz w:val="22"/>
          <w:szCs w:val="22"/>
        </w:rPr>
        <w:t xml:space="preserve">The Facility Visitor Information and Confidentiality Policy can be found </w:t>
      </w:r>
      <w:hyperlink r:id="rId17" w:history="1">
        <w:r w:rsidRPr="006977EB">
          <w:rPr>
            <w:rStyle w:val="Lienhypertexte"/>
            <w:sz w:val="22"/>
            <w:szCs w:val="22"/>
          </w:rPr>
          <w:t>here</w:t>
        </w:r>
      </w:hyperlink>
      <w:r>
        <w:rPr>
          <w:sz w:val="22"/>
          <w:szCs w:val="22"/>
        </w:rPr>
        <w:t xml:space="preserve">.  It must be signed, without amendment, by every non-Mane employee who </w:t>
      </w:r>
      <w:r w:rsidR="00DB5A4D">
        <w:rPr>
          <w:sz w:val="22"/>
          <w:szCs w:val="22"/>
        </w:rPr>
        <w:t xml:space="preserve">visits </w:t>
      </w:r>
      <w:r w:rsidR="004864A7">
        <w:rPr>
          <w:sz w:val="22"/>
          <w:szCs w:val="22"/>
        </w:rPr>
        <w:t>Mane’s buildings.</w:t>
      </w:r>
    </w:p>
    <w:p w14:paraId="1BF2E09D" w14:textId="77777777" w:rsidR="004864A7" w:rsidRDefault="004864A7" w:rsidP="00FA22EE">
      <w:pPr>
        <w:pStyle w:val="Sansinterligne"/>
        <w:ind w:left="284" w:hanging="284"/>
        <w:jc w:val="both"/>
        <w:rPr>
          <w:sz w:val="22"/>
          <w:szCs w:val="22"/>
        </w:rPr>
      </w:pPr>
    </w:p>
    <w:p w14:paraId="1BF2E09E" w14:textId="36823FF3" w:rsidR="004864A7" w:rsidRPr="00FA22EE" w:rsidRDefault="00FA22EE" w:rsidP="002F4CC4">
      <w:pPr>
        <w:pStyle w:val="Sansinterligne"/>
        <w:numPr>
          <w:ilvl w:val="0"/>
          <w:numId w:val="2"/>
        </w:numPr>
        <w:jc w:val="both"/>
        <w:rPr>
          <w:b/>
          <w:i/>
          <w:sz w:val="22"/>
          <w:szCs w:val="22"/>
        </w:rPr>
      </w:pPr>
      <w:r>
        <w:rPr>
          <w:b/>
          <w:i/>
          <w:sz w:val="22"/>
          <w:szCs w:val="22"/>
        </w:rPr>
        <w:t xml:space="preserve"> </w:t>
      </w:r>
      <w:r w:rsidR="004864A7" w:rsidRPr="00FA22EE">
        <w:rPr>
          <w:b/>
          <w:i/>
          <w:sz w:val="22"/>
          <w:szCs w:val="22"/>
        </w:rPr>
        <w:t>What if the three standard templates on Share</w:t>
      </w:r>
      <w:r w:rsidR="009E1F07" w:rsidRPr="00FA22EE">
        <w:rPr>
          <w:b/>
          <w:i/>
          <w:sz w:val="22"/>
          <w:szCs w:val="22"/>
        </w:rPr>
        <w:t>P</w:t>
      </w:r>
      <w:r w:rsidR="004864A7" w:rsidRPr="00FA22EE">
        <w:rPr>
          <w:b/>
          <w:i/>
          <w:sz w:val="22"/>
          <w:szCs w:val="22"/>
        </w:rPr>
        <w:t>oint do not fit my needs?</w:t>
      </w:r>
    </w:p>
    <w:p w14:paraId="1BF2E0A0" w14:textId="6FCF120E" w:rsidR="004864A7" w:rsidRDefault="004864A7" w:rsidP="00FA22EE">
      <w:pPr>
        <w:pStyle w:val="Sansinterligne"/>
        <w:ind w:left="284"/>
        <w:jc w:val="both"/>
        <w:rPr>
          <w:sz w:val="22"/>
          <w:szCs w:val="22"/>
        </w:rPr>
      </w:pPr>
      <w:r>
        <w:rPr>
          <w:sz w:val="22"/>
          <w:szCs w:val="22"/>
        </w:rPr>
        <w:t>Consult the Legal &amp; IP Department. Explain if there is a particular reason that customization of the template is needed.  Mane Legal maintains other specialized templates: e.g., three-party, toll / contract manufacturing, audit, and material transfer.</w:t>
      </w:r>
    </w:p>
    <w:p w14:paraId="1BF2E0A1" w14:textId="77777777" w:rsidR="004864A7" w:rsidRDefault="004864A7" w:rsidP="00FA22EE">
      <w:pPr>
        <w:pStyle w:val="Sansinterligne"/>
        <w:ind w:left="284" w:hanging="284"/>
        <w:jc w:val="both"/>
        <w:rPr>
          <w:sz w:val="22"/>
          <w:szCs w:val="22"/>
        </w:rPr>
      </w:pPr>
    </w:p>
    <w:p w14:paraId="1BF2E0A2" w14:textId="3DDC2B2A" w:rsidR="004864A7" w:rsidRPr="00FA22EE" w:rsidRDefault="00FA22EE" w:rsidP="002F4CC4">
      <w:pPr>
        <w:pStyle w:val="Sansinterligne"/>
        <w:numPr>
          <w:ilvl w:val="0"/>
          <w:numId w:val="2"/>
        </w:numPr>
        <w:jc w:val="both"/>
        <w:rPr>
          <w:b/>
          <w:i/>
          <w:sz w:val="22"/>
          <w:szCs w:val="22"/>
        </w:rPr>
      </w:pPr>
      <w:r>
        <w:rPr>
          <w:b/>
          <w:i/>
          <w:sz w:val="22"/>
          <w:szCs w:val="22"/>
        </w:rPr>
        <w:t xml:space="preserve"> </w:t>
      </w:r>
      <w:r w:rsidR="008F59AE" w:rsidRPr="00FA22EE">
        <w:rPr>
          <w:b/>
          <w:i/>
          <w:sz w:val="22"/>
          <w:szCs w:val="22"/>
        </w:rPr>
        <w:t>What happens if a CDA proposal is never signed?</w:t>
      </w:r>
    </w:p>
    <w:p w14:paraId="1BF2E0A4" w14:textId="79C4CDFF" w:rsidR="008F59AE" w:rsidRDefault="008F59AE" w:rsidP="00FA22EE">
      <w:pPr>
        <w:pStyle w:val="Sansinterligne"/>
        <w:ind w:left="284"/>
        <w:jc w:val="both"/>
        <w:rPr>
          <w:sz w:val="22"/>
          <w:szCs w:val="22"/>
        </w:rPr>
      </w:pPr>
      <w:r>
        <w:rPr>
          <w:sz w:val="22"/>
          <w:szCs w:val="22"/>
        </w:rPr>
        <w:t xml:space="preserve">If a CDA is not signed, </w:t>
      </w:r>
      <w:r w:rsidR="009E1F07">
        <w:rPr>
          <w:sz w:val="22"/>
          <w:szCs w:val="22"/>
        </w:rPr>
        <w:t>it must</w:t>
      </w:r>
      <w:r w:rsidR="00C07EA5">
        <w:rPr>
          <w:sz w:val="22"/>
          <w:szCs w:val="22"/>
        </w:rPr>
        <w:t xml:space="preserve"> be mentioned </w:t>
      </w:r>
      <w:r w:rsidR="00BB6A2B">
        <w:rPr>
          <w:sz w:val="22"/>
          <w:szCs w:val="22"/>
        </w:rPr>
        <w:t>o</w:t>
      </w:r>
      <w:r w:rsidR="009E1F07">
        <w:rPr>
          <w:sz w:val="22"/>
          <w:szCs w:val="22"/>
        </w:rPr>
        <w:t xml:space="preserve">n the central register through the modification of its status from </w:t>
      </w:r>
      <w:r w:rsidR="009E1F07" w:rsidRPr="009E1F07">
        <w:rPr>
          <w:sz w:val="22"/>
          <w:szCs w:val="22"/>
        </w:rPr>
        <w:t>« Draft »</w:t>
      </w:r>
      <w:r w:rsidR="009E1F07">
        <w:rPr>
          <w:sz w:val="22"/>
          <w:szCs w:val="22"/>
        </w:rPr>
        <w:t xml:space="preserve"> to</w:t>
      </w:r>
      <w:r w:rsidR="009E1F07" w:rsidRPr="009E1F07">
        <w:rPr>
          <w:sz w:val="22"/>
          <w:szCs w:val="22"/>
        </w:rPr>
        <w:t xml:space="preserve"> « Abandoned » </w:t>
      </w:r>
      <w:r>
        <w:rPr>
          <w:sz w:val="22"/>
          <w:szCs w:val="22"/>
        </w:rPr>
        <w:t>(</w:t>
      </w:r>
      <w:r w:rsidR="009E1F07">
        <w:rPr>
          <w:sz w:val="22"/>
          <w:szCs w:val="22"/>
        </w:rPr>
        <w:t>without the deletion of its registration as a whole</w:t>
      </w:r>
      <w:r>
        <w:rPr>
          <w:sz w:val="22"/>
          <w:szCs w:val="22"/>
        </w:rPr>
        <w:t>).</w:t>
      </w:r>
    </w:p>
    <w:p w14:paraId="0E1F988A" w14:textId="6D2BA4FF" w:rsidR="00FA22EE" w:rsidRPr="00FA22EE" w:rsidRDefault="00FA22EE" w:rsidP="00FA22EE"/>
    <w:p w14:paraId="3E65B3B0" w14:textId="77777777" w:rsidR="00FA22EE" w:rsidRPr="00FA22EE" w:rsidRDefault="00FA22EE" w:rsidP="00FA22EE">
      <w:pPr>
        <w:jc w:val="center"/>
      </w:pPr>
    </w:p>
    <w:sectPr w:rsidR="00FA22EE" w:rsidRPr="00FA22EE" w:rsidSect="008F59AE">
      <w:headerReference w:type="default" r:id="rId18"/>
      <w:footerReference w:type="default" r:id="rId19"/>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CE55" w14:textId="77777777" w:rsidR="00C56897" w:rsidRDefault="00C56897" w:rsidP="00943B97">
      <w:pPr>
        <w:spacing w:after="0" w:line="240" w:lineRule="auto"/>
      </w:pPr>
      <w:r>
        <w:separator/>
      </w:r>
    </w:p>
  </w:endnote>
  <w:endnote w:type="continuationSeparator" w:id="0">
    <w:p w14:paraId="68EFFBAC" w14:textId="77777777" w:rsidR="00C56897" w:rsidRDefault="00C56897" w:rsidP="0094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E0A9" w14:textId="1EED4C25" w:rsidR="00943B97" w:rsidRPr="00943B97" w:rsidRDefault="00943B97" w:rsidP="00943B97">
    <w:pPr>
      <w:pStyle w:val="Pieddepage"/>
      <w:tabs>
        <w:tab w:val="clear" w:pos="4680"/>
        <w:tab w:val="clear" w:pos="9360"/>
        <w:tab w:val="center" w:pos="5400"/>
        <w:tab w:val="right" w:pos="10800"/>
      </w:tabs>
      <w:rPr>
        <w:sz w:val="20"/>
        <w:szCs w:val="20"/>
      </w:rPr>
    </w:pPr>
    <w:r w:rsidRPr="00943B97">
      <w:rPr>
        <w:sz w:val="20"/>
        <w:szCs w:val="20"/>
      </w:rPr>
      <w:t>Mane Legal and IP Department</w:t>
    </w:r>
    <w:r w:rsidRPr="00943B97">
      <w:rPr>
        <w:sz w:val="20"/>
        <w:szCs w:val="20"/>
      </w:rPr>
      <w:tab/>
    </w:r>
    <w:r w:rsidR="00DB5A4D">
      <w:rPr>
        <w:sz w:val="20"/>
        <w:szCs w:val="20"/>
      </w:rPr>
      <w:t xml:space="preserve">updated on </w:t>
    </w:r>
    <w:r w:rsidR="00327394">
      <w:rPr>
        <w:sz w:val="20"/>
        <w:szCs w:val="20"/>
      </w:rPr>
      <w:t>August</w:t>
    </w:r>
    <w:r w:rsidR="00FA22EE">
      <w:rPr>
        <w:sz w:val="20"/>
        <w:szCs w:val="20"/>
      </w:rPr>
      <w:t xml:space="preserve"> </w:t>
    </w:r>
    <w:r w:rsidR="00984212">
      <w:rPr>
        <w:sz w:val="20"/>
        <w:szCs w:val="20"/>
      </w:rPr>
      <w:t>14</w:t>
    </w:r>
    <w:r w:rsidR="00C51528">
      <w:rPr>
        <w:sz w:val="20"/>
        <w:szCs w:val="20"/>
      </w:rPr>
      <w:t xml:space="preserve">, </w:t>
    </w:r>
    <w:r w:rsidR="0060651B">
      <w:rPr>
        <w:sz w:val="20"/>
        <w:szCs w:val="20"/>
      </w:rPr>
      <w:t>2023</w:t>
    </w:r>
    <w:r w:rsidRPr="00943B97">
      <w:rPr>
        <w:sz w:val="20"/>
        <w:szCs w:val="20"/>
      </w:rPr>
      <w:tab/>
    </w:r>
    <w:r w:rsidRPr="00943B97">
      <w:rPr>
        <w:sz w:val="20"/>
        <w:szCs w:val="20"/>
      </w:rPr>
      <w:fldChar w:fldCharType="begin"/>
    </w:r>
    <w:r w:rsidRPr="00943B97">
      <w:rPr>
        <w:sz w:val="20"/>
        <w:szCs w:val="20"/>
      </w:rPr>
      <w:instrText xml:space="preserve"> PAGE  \* Arabic  \* MERGEFORMAT </w:instrText>
    </w:r>
    <w:r w:rsidRPr="00943B97">
      <w:rPr>
        <w:sz w:val="20"/>
        <w:szCs w:val="20"/>
      </w:rPr>
      <w:fldChar w:fldCharType="separate"/>
    </w:r>
    <w:r w:rsidR="00076EAF">
      <w:rPr>
        <w:noProof/>
        <w:sz w:val="20"/>
        <w:szCs w:val="20"/>
      </w:rPr>
      <w:t>2</w:t>
    </w:r>
    <w:r w:rsidRPr="00943B97">
      <w:rPr>
        <w:sz w:val="20"/>
        <w:szCs w:val="20"/>
      </w:rPr>
      <w:fldChar w:fldCharType="end"/>
    </w:r>
    <w:r w:rsidRPr="00943B97">
      <w:rPr>
        <w:sz w:val="20"/>
        <w:szCs w:val="20"/>
      </w:rPr>
      <w:t>/</w:t>
    </w:r>
    <w:r w:rsidRPr="00943B97">
      <w:rPr>
        <w:sz w:val="20"/>
        <w:szCs w:val="20"/>
      </w:rPr>
      <w:fldChar w:fldCharType="begin"/>
    </w:r>
    <w:r w:rsidRPr="00943B97">
      <w:rPr>
        <w:sz w:val="20"/>
        <w:szCs w:val="20"/>
      </w:rPr>
      <w:instrText xml:space="preserve"> NUMPAGES  \* Arabic  \* MERGEFORMAT </w:instrText>
    </w:r>
    <w:r w:rsidRPr="00943B97">
      <w:rPr>
        <w:sz w:val="20"/>
        <w:szCs w:val="20"/>
      </w:rPr>
      <w:fldChar w:fldCharType="separate"/>
    </w:r>
    <w:r w:rsidR="00076EAF">
      <w:rPr>
        <w:noProof/>
        <w:sz w:val="20"/>
        <w:szCs w:val="20"/>
      </w:rPr>
      <w:t>2</w:t>
    </w:r>
    <w:r w:rsidRPr="00943B97">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970A" w14:textId="77777777" w:rsidR="00C56897" w:rsidRDefault="00C56897" w:rsidP="00943B97">
      <w:pPr>
        <w:spacing w:after="0" w:line="240" w:lineRule="auto"/>
      </w:pPr>
      <w:r>
        <w:separator/>
      </w:r>
    </w:p>
  </w:footnote>
  <w:footnote w:type="continuationSeparator" w:id="0">
    <w:p w14:paraId="11917950" w14:textId="77777777" w:rsidR="00C56897" w:rsidRDefault="00C56897" w:rsidP="0094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4571"/>
      <w:docPartObj>
        <w:docPartGallery w:val="Watermarks"/>
        <w:docPartUnique/>
      </w:docPartObj>
    </w:sdtPr>
    <w:sdtEndPr/>
    <w:sdtContent>
      <w:p w14:paraId="3938F139" w14:textId="43FA45A4" w:rsidR="00076EAF" w:rsidRDefault="00F906B6">
        <w:pPr>
          <w:pStyle w:val="En-tte"/>
        </w:pPr>
        <w:r>
          <w:rPr>
            <w:noProof/>
            <w:lang w:eastAsia="zh-TW"/>
          </w:rPr>
          <w:pict w14:anchorId="1673E8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331158" o:spid="_x0000_s1025" type="#_x0000_t136" style="position:absolute;margin-left:0;margin-top:0;width:609.1pt;height:152.25pt;rotation:315;z-index:-251658752;mso-position-horizontal:center;mso-position-horizontal-relative:margin;mso-position-vertical:center;mso-position-vertical-relative:margin" o:allowincell="f" fillcolor="#7f7f7f [1612]"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5E2A"/>
    <w:multiLevelType w:val="hybridMultilevel"/>
    <w:tmpl w:val="F6F019F8"/>
    <w:lvl w:ilvl="0" w:tplc="080A000F">
      <w:start w:val="1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7B4FB8"/>
    <w:multiLevelType w:val="hybridMultilevel"/>
    <w:tmpl w:val="FBB29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580425"/>
    <w:multiLevelType w:val="hybridMultilevel"/>
    <w:tmpl w:val="512A1FCA"/>
    <w:lvl w:ilvl="0" w:tplc="D28284A4">
      <w:start w:val="1"/>
      <w:numFmt w:val="decimal"/>
      <w:lvlText w:val="%1."/>
      <w:lvlJc w:val="left"/>
      <w:pPr>
        <w:ind w:left="360" w:hanging="360"/>
      </w:pPr>
      <w:rPr>
        <w:b/>
        <w:i/>
        <w:i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82707117">
    <w:abstractNumId w:val="1"/>
  </w:num>
  <w:num w:numId="2" w16cid:durableId="1738089449">
    <w:abstractNumId w:val="2"/>
  </w:num>
  <w:num w:numId="3" w16cid:durableId="122017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7"/>
    <w:rsid w:val="00012D25"/>
    <w:rsid w:val="00054615"/>
    <w:rsid w:val="00057789"/>
    <w:rsid w:val="00076EAF"/>
    <w:rsid w:val="000B4B98"/>
    <w:rsid w:val="000B6642"/>
    <w:rsid w:val="000C3327"/>
    <w:rsid w:val="000F59A8"/>
    <w:rsid w:val="001449AD"/>
    <w:rsid w:val="001640AF"/>
    <w:rsid w:val="00182D0B"/>
    <w:rsid w:val="0018668F"/>
    <w:rsid w:val="001C0EB0"/>
    <w:rsid w:val="001D38FD"/>
    <w:rsid w:val="00223C20"/>
    <w:rsid w:val="00286164"/>
    <w:rsid w:val="002C58CF"/>
    <w:rsid w:val="002F4CC4"/>
    <w:rsid w:val="00306CB9"/>
    <w:rsid w:val="00327394"/>
    <w:rsid w:val="00331058"/>
    <w:rsid w:val="0037045E"/>
    <w:rsid w:val="003760C4"/>
    <w:rsid w:val="0038249F"/>
    <w:rsid w:val="003C5B50"/>
    <w:rsid w:val="003F3D8D"/>
    <w:rsid w:val="00417019"/>
    <w:rsid w:val="00424088"/>
    <w:rsid w:val="00424A0E"/>
    <w:rsid w:val="004328E9"/>
    <w:rsid w:val="00460F22"/>
    <w:rsid w:val="0046135F"/>
    <w:rsid w:val="004722D4"/>
    <w:rsid w:val="004864A7"/>
    <w:rsid w:val="00495613"/>
    <w:rsid w:val="004B476C"/>
    <w:rsid w:val="004C7F64"/>
    <w:rsid w:val="00565128"/>
    <w:rsid w:val="00566157"/>
    <w:rsid w:val="00567C9E"/>
    <w:rsid w:val="0058728C"/>
    <w:rsid w:val="005B5233"/>
    <w:rsid w:val="005B6229"/>
    <w:rsid w:val="005D046F"/>
    <w:rsid w:val="005E561E"/>
    <w:rsid w:val="0060651B"/>
    <w:rsid w:val="00693BC9"/>
    <w:rsid w:val="006977EB"/>
    <w:rsid w:val="006A313C"/>
    <w:rsid w:val="006A5148"/>
    <w:rsid w:val="006B66D2"/>
    <w:rsid w:val="006E6B1C"/>
    <w:rsid w:val="006F3ADB"/>
    <w:rsid w:val="006F40A4"/>
    <w:rsid w:val="007066A7"/>
    <w:rsid w:val="00725BEC"/>
    <w:rsid w:val="007460B2"/>
    <w:rsid w:val="007640A4"/>
    <w:rsid w:val="00774D35"/>
    <w:rsid w:val="00796235"/>
    <w:rsid w:val="007A05C0"/>
    <w:rsid w:val="007D1328"/>
    <w:rsid w:val="007D36A3"/>
    <w:rsid w:val="00835DD7"/>
    <w:rsid w:val="00840E8D"/>
    <w:rsid w:val="00857B67"/>
    <w:rsid w:val="008617CD"/>
    <w:rsid w:val="00861C39"/>
    <w:rsid w:val="008620F1"/>
    <w:rsid w:val="00881825"/>
    <w:rsid w:val="00897710"/>
    <w:rsid w:val="008E2E3F"/>
    <w:rsid w:val="008F2A87"/>
    <w:rsid w:val="008F59AE"/>
    <w:rsid w:val="00943B97"/>
    <w:rsid w:val="00950853"/>
    <w:rsid w:val="009527F2"/>
    <w:rsid w:val="00960D92"/>
    <w:rsid w:val="0097323E"/>
    <w:rsid w:val="00984212"/>
    <w:rsid w:val="0098636B"/>
    <w:rsid w:val="00992F9A"/>
    <w:rsid w:val="009D393F"/>
    <w:rsid w:val="009E1F07"/>
    <w:rsid w:val="009F5927"/>
    <w:rsid w:val="00A0120B"/>
    <w:rsid w:val="00A22849"/>
    <w:rsid w:val="00A27234"/>
    <w:rsid w:val="00A27613"/>
    <w:rsid w:val="00A46E18"/>
    <w:rsid w:val="00AA2243"/>
    <w:rsid w:val="00AA2C4F"/>
    <w:rsid w:val="00B33A02"/>
    <w:rsid w:val="00B85741"/>
    <w:rsid w:val="00B95DAF"/>
    <w:rsid w:val="00BB6A2B"/>
    <w:rsid w:val="00BC1955"/>
    <w:rsid w:val="00BE5CFB"/>
    <w:rsid w:val="00BF3D9A"/>
    <w:rsid w:val="00C01221"/>
    <w:rsid w:val="00C05F72"/>
    <w:rsid w:val="00C07EA5"/>
    <w:rsid w:val="00C25AE9"/>
    <w:rsid w:val="00C31FB4"/>
    <w:rsid w:val="00C335D6"/>
    <w:rsid w:val="00C51528"/>
    <w:rsid w:val="00C56897"/>
    <w:rsid w:val="00C907C1"/>
    <w:rsid w:val="00CB7832"/>
    <w:rsid w:val="00CC5E90"/>
    <w:rsid w:val="00CF0BCB"/>
    <w:rsid w:val="00D605F5"/>
    <w:rsid w:val="00DB5A4D"/>
    <w:rsid w:val="00DD0D5E"/>
    <w:rsid w:val="00DF1B9E"/>
    <w:rsid w:val="00E174C3"/>
    <w:rsid w:val="00E24BF7"/>
    <w:rsid w:val="00E24CBC"/>
    <w:rsid w:val="00E41086"/>
    <w:rsid w:val="00E80813"/>
    <w:rsid w:val="00F07BAF"/>
    <w:rsid w:val="00F10BE6"/>
    <w:rsid w:val="00F306E1"/>
    <w:rsid w:val="00F86535"/>
    <w:rsid w:val="00F906B6"/>
    <w:rsid w:val="00FA22EE"/>
    <w:rsid w:val="00FC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2E069"/>
  <w15:docId w15:val="{EB4B1EAE-B838-4F87-94ED-ADE646E3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A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3B97"/>
    <w:pPr>
      <w:spacing w:after="0" w:line="240" w:lineRule="auto"/>
    </w:pPr>
  </w:style>
  <w:style w:type="paragraph" w:styleId="En-tte">
    <w:name w:val="header"/>
    <w:basedOn w:val="Normal"/>
    <w:link w:val="En-tteCar"/>
    <w:uiPriority w:val="99"/>
    <w:unhideWhenUsed/>
    <w:rsid w:val="00943B97"/>
    <w:pPr>
      <w:tabs>
        <w:tab w:val="center" w:pos="4680"/>
        <w:tab w:val="right" w:pos="9360"/>
      </w:tabs>
      <w:spacing w:after="0" w:line="240" w:lineRule="auto"/>
    </w:pPr>
  </w:style>
  <w:style w:type="character" w:customStyle="1" w:styleId="En-tteCar">
    <w:name w:val="En-tête Car"/>
    <w:basedOn w:val="Policepardfaut"/>
    <w:link w:val="En-tte"/>
    <w:uiPriority w:val="99"/>
    <w:rsid w:val="00943B97"/>
  </w:style>
  <w:style w:type="paragraph" w:styleId="Pieddepage">
    <w:name w:val="footer"/>
    <w:basedOn w:val="Normal"/>
    <w:link w:val="PieddepageCar"/>
    <w:uiPriority w:val="99"/>
    <w:unhideWhenUsed/>
    <w:rsid w:val="00943B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43B97"/>
  </w:style>
  <w:style w:type="character" w:styleId="Lienhypertexte">
    <w:name w:val="Hyperlink"/>
    <w:basedOn w:val="Policepardfaut"/>
    <w:uiPriority w:val="99"/>
    <w:unhideWhenUsed/>
    <w:rsid w:val="008F59AE"/>
    <w:rPr>
      <w:color w:val="0000FF" w:themeColor="hyperlink"/>
      <w:u w:val="single"/>
    </w:rPr>
  </w:style>
  <w:style w:type="character" w:styleId="Marquedecommentaire">
    <w:name w:val="annotation reference"/>
    <w:basedOn w:val="Policepardfaut"/>
    <w:uiPriority w:val="99"/>
    <w:semiHidden/>
    <w:unhideWhenUsed/>
    <w:rsid w:val="00DB5A4D"/>
    <w:rPr>
      <w:sz w:val="16"/>
      <w:szCs w:val="16"/>
    </w:rPr>
  </w:style>
  <w:style w:type="paragraph" w:styleId="Commentaire">
    <w:name w:val="annotation text"/>
    <w:basedOn w:val="Normal"/>
    <w:link w:val="CommentaireCar"/>
    <w:uiPriority w:val="99"/>
    <w:semiHidden/>
    <w:unhideWhenUsed/>
    <w:rsid w:val="00DB5A4D"/>
    <w:pPr>
      <w:spacing w:line="240" w:lineRule="auto"/>
    </w:pPr>
    <w:rPr>
      <w:sz w:val="20"/>
      <w:szCs w:val="20"/>
    </w:rPr>
  </w:style>
  <w:style w:type="character" w:customStyle="1" w:styleId="CommentaireCar">
    <w:name w:val="Commentaire Car"/>
    <w:basedOn w:val="Policepardfaut"/>
    <w:link w:val="Commentaire"/>
    <w:uiPriority w:val="99"/>
    <w:semiHidden/>
    <w:rsid w:val="00DB5A4D"/>
    <w:rPr>
      <w:sz w:val="20"/>
      <w:szCs w:val="20"/>
    </w:rPr>
  </w:style>
  <w:style w:type="paragraph" w:styleId="Objetducommentaire">
    <w:name w:val="annotation subject"/>
    <w:basedOn w:val="Commentaire"/>
    <w:next w:val="Commentaire"/>
    <w:link w:val="ObjetducommentaireCar"/>
    <w:uiPriority w:val="99"/>
    <w:semiHidden/>
    <w:unhideWhenUsed/>
    <w:rsid w:val="00DB5A4D"/>
    <w:rPr>
      <w:b/>
      <w:bCs/>
    </w:rPr>
  </w:style>
  <w:style w:type="character" w:customStyle="1" w:styleId="ObjetducommentaireCar">
    <w:name w:val="Objet du commentaire Car"/>
    <w:basedOn w:val="CommentaireCar"/>
    <w:link w:val="Objetducommentaire"/>
    <w:uiPriority w:val="99"/>
    <w:semiHidden/>
    <w:rsid w:val="00DB5A4D"/>
    <w:rPr>
      <w:b/>
      <w:bCs/>
      <w:sz w:val="20"/>
      <w:szCs w:val="20"/>
    </w:rPr>
  </w:style>
  <w:style w:type="paragraph" w:styleId="Textedebulles">
    <w:name w:val="Balloon Text"/>
    <w:basedOn w:val="Normal"/>
    <w:link w:val="TextedebullesCar"/>
    <w:uiPriority w:val="99"/>
    <w:semiHidden/>
    <w:unhideWhenUsed/>
    <w:rsid w:val="00DB5A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A4D"/>
    <w:rPr>
      <w:rFonts w:ascii="Tahoma" w:hAnsi="Tahoma" w:cs="Tahoma"/>
      <w:sz w:val="16"/>
      <w:szCs w:val="16"/>
    </w:rPr>
  </w:style>
  <w:style w:type="character" w:styleId="Lienhypertextesuivivisit">
    <w:name w:val="FollowedHyperlink"/>
    <w:basedOn w:val="Policepardfaut"/>
    <w:uiPriority w:val="99"/>
    <w:semiHidden/>
    <w:unhideWhenUsed/>
    <w:rsid w:val="00054615"/>
    <w:rPr>
      <w:color w:val="800080" w:themeColor="followedHyperlink"/>
      <w:u w:val="single"/>
    </w:rPr>
  </w:style>
  <w:style w:type="paragraph" w:styleId="Rvision">
    <w:name w:val="Revision"/>
    <w:hidden/>
    <w:uiPriority w:val="99"/>
    <w:semiHidden/>
    <w:rsid w:val="006F3ADB"/>
    <w:pPr>
      <w:spacing w:after="0" w:line="240" w:lineRule="auto"/>
    </w:pPr>
  </w:style>
  <w:style w:type="character" w:styleId="Mentionnonrsolue">
    <w:name w:val="Unresolved Mention"/>
    <w:basedOn w:val="Policepardfaut"/>
    <w:uiPriority w:val="99"/>
    <w:semiHidden/>
    <w:unhideWhenUsed/>
    <w:rsid w:val="00C25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6275">
      <w:bodyDiv w:val="1"/>
      <w:marLeft w:val="0"/>
      <w:marRight w:val="0"/>
      <w:marTop w:val="0"/>
      <w:marBottom w:val="0"/>
      <w:divBdr>
        <w:top w:val="none" w:sz="0" w:space="0" w:color="auto"/>
        <w:left w:val="none" w:sz="0" w:space="0" w:color="auto"/>
        <w:bottom w:val="none" w:sz="0" w:space="0" w:color="auto"/>
        <w:right w:val="none" w:sz="0" w:space="0" w:color="auto"/>
      </w:divBdr>
    </w:div>
    <w:div w:id="5758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sscorp.emea.sesam.mane.com/LegalIP/Legal/Confidentiality%20agreement%20templates/Spanish/Mane%20Mexico/Convenio%20modificatorio/CDA_SPA_ADD_MMEX.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osscorp.emea.sesam.mane.com/LegalIP/Legal/Confidentiality%20agreement%20templates/English/V.%20MANE%20FILS/Amendment/CDA_ENG_AD_Renewal_VMF.doc" TargetMode="External"/><Relationship Id="rId17" Type="http://schemas.openxmlformats.org/officeDocument/2006/relationships/hyperlink" Target="http://mosscorp.emea.sesam.mane.com/LegalIP/Legal/Visit%20of%20Mane%20facilities/Forms/AllItems.aspx?RootFolder=%2FLegalIP%2FLegal%2FVisit%20of%20Mane%20facilities%2FEnglish&amp;FolderCTID=0x0120001CB30D1BDCDA854886700A9366766C67&amp;View=%7b1BFB9811-B089-4269-A054-4B09D7AF3FC2%7d" TargetMode="External"/><Relationship Id="rId2" Type="http://schemas.openxmlformats.org/officeDocument/2006/relationships/customXml" Target="../customXml/item2.xml"/><Relationship Id="rId16" Type="http://schemas.openxmlformats.org/officeDocument/2006/relationships/hyperlink" Target="https://manegroup-my.sharepoint.com/personal/hasna_assbai_mane_com/Documents/CDA/FAQ/template%20avenant%20FR%20ENG%20ESP/CDA_SPA_AD_Adding%20parties_VMF.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sscorp.emea.sesam.mane.com/LegalIP/Legal/Confidentiality%20agreement%20templates/French/Avenant/CDA_FR_AD_renouvellement_VMF.doc" TargetMode="External"/><Relationship Id="rId5" Type="http://schemas.openxmlformats.org/officeDocument/2006/relationships/numbering" Target="numbering.xml"/><Relationship Id="rId15" Type="http://schemas.openxmlformats.org/officeDocument/2006/relationships/hyperlink" Target="https://manegroup-my.sharepoint.com/personal/hasna_assbai_mane_com/Documents/CDA/ENG/CDA_ENG_AD_Adding%20parties_VMF.doc"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negroup-my.sharepoint.com/personal/hasna_assbai_mane_com/Documents/CDA/FR/CDA_FR_AD_ajout%20de%20parties_VMF.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5B3F56-A3A8-4964-9A6D-1CD08CD65175}"/>
</file>

<file path=customXml/itemProps2.xml><?xml version="1.0" encoding="utf-8"?>
<ds:datastoreItem xmlns:ds="http://schemas.openxmlformats.org/officeDocument/2006/customXml" ds:itemID="{8FF71D97-FE3A-40B3-81F3-25BFCA255AE7}"/>
</file>

<file path=customXml/itemProps3.xml><?xml version="1.0" encoding="utf-8"?>
<ds:datastoreItem xmlns:ds="http://schemas.openxmlformats.org/officeDocument/2006/customXml" ds:itemID="{0FB34F62-5D9D-477C-B513-7640512BBCD7}"/>
</file>

<file path=customXml/itemProps4.xml><?xml version="1.0" encoding="utf-8"?>
<ds:datastoreItem xmlns:ds="http://schemas.openxmlformats.org/officeDocument/2006/customXml" ds:itemID="{EB931A30-9313-4EF5-8591-4DB982C9C947}"/>
</file>

<file path=docProps/app.xml><?xml version="1.0" encoding="utf-8"?>
<Properties xmlns="http://schemas.openxmlformats.org/officeDocument/2006/extended-properties" xmlns:vt="http://schemas.openxmlformats.org/officeDocument/2006/docPropsVTypes">
  <Template>Normal</Template>
  <TotalTime>6</TotalTime>
  <Pages>3</Pages>
  <Words>1493</Words>
  <Characters>8214</Characters>
  <Application>Microsoft Office Word</Application>
  <DocSecurity>0</DocSecurity>
  <Lines>68</Lines>
  <Paragraphs>19</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V. Mane &amp; Fils</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Derek Smith</dc:creator>
  <cp:lastModifiedBy>ASSBAI Hasna</cp:lastModifiedBy>
  <cp:revision>12</cp:revision>
  <cp:lastPrinted>2018-07-05T08:05:00Z</cp:lastPrinted>
  <dcterms:created xsi:type="dcterms:W3CDTF">2021-05-03T20:28:00Z</dcterms:created>
  <dcterms:modified xsi:type="dcterms:W3CDTF">2023-08-16T06:25:00Z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ies>
</file>