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62C19" w14:textId="77777777" w:rsidR="00597EA9" w:rsidRDefault="00597EA9" w:rsidP="00597EA9">
      <w:pPr>
        <w:spacing w:after="200"/>
        <w:ind w:left="284"/>
        <w:jc w:val="left"/>
        <w:rPr>
          <w:b/>
          <w:lang w:val="en-GB" w:eastAsia="en-GB" w:bidi="en-GB"/>
        </w:rPr>
      </w:pPr>
      <w:bookmarkStart w:id="0" w:name="_GoBack"/>
      <w:bookmarkEnd w:id="0"/>
    </w:p>
    <w:p w14:paraId="0176ABCC" w14:textId="77777777" w:rsidR="00597EA9" w:rsidRDefault="00597EA9" w:rsidP="00597EA9">
      <w:pPr>
        <w:spacing w:after="200"/>
        <w:ind w:left="284"/>
        <w:jc w:val="left"/>
        <w:rPr>
          <w:b/>
          <w:lang w:val="en-GB" w:eastAsia="en-GB" w:bidi="en-GB"/>
        </w:rPr>
      </w:pPr>
    </w:p>
    <w:p w14:paraId="3002E6EC" w14:textId="1D167441" w:rsidR="00597EA9" w:rsidRPr="00597EA9" w:rsidRDefault="00597EA9" w:rsidP="00597EA9">
      <w:pPr>
        <w:spacing w:after="200"/>
        <w:ind w:left="284"/>
        <w:jc w:val="left"/>
        <w:rPr>
          <w:lang w:val="en-GB" w:eastAsia="en-GB" w:bidi="en-GB"/>
        </w:rPr>
      </w:pPr>
      <w:r w:rsidRPr="00597EA9">
        <w:rPr>
          <w:b/>
          <w:lang w:val="en-GB" w:eastAsia="en-GB" w:bidi="en-GB"/>
        </w:rPr>
        <w:t>Subject:</w:t>
      </w:r>
      <w:r w:rsidRPr="00597EA9">
        <w:rPr>
          <w:lang w:val="en-GB" w:eastAsia="en-GB" w:bidi="en-GB"/>
        </w:rPr>
        <w:t xml:space="preserve"> This document describes the procedure for reporting a personal data security breach.</w:t>
      </w:r>
    </w:p>
    <w:p w14:paraId="7A61B8AF" w14:textId="77777777" w:rsidR="00597EA9" w:rsidRPr="00597EA9" w:rsidRDefault="00597EA9" w:rsidP="00597EA9">
      <w:pPr>
        <w:spacing w:after="200"/>
        <w:ind w:firstLine="284"/>
        <w:jc w:val="left"/>
        <w:rPr>
          <w:lang w:val="en-GB" w:eastAsia="en-GB" w:bidi="en-GB"/>
        </w:rPr>
      </w:pPr>
      <w:r w:rsidRPr="00597EA9">
        <w:rPr>
          <w:b/>
          <w:lang w:val="en-GB" w:eastAsia="en-GB" w:bidi="en-GB"/>
        </w:rPr>
        <w:t>Scope:</w:t>
      </w:r>
      <w:r w:rsidRPr="00597EA9">
        <w:rPr>
          <w:lang w:val="en-GB" w:eastAsia="en-GB" w:bidi="en-GB"/>
        </w:rPr>
        <w:t xml:space="preserve"> General Data Protection Regulation.</w:t>
      </w:r>
    </w:p>
    <w:p w14:paraId="11F70052" w14:textId="3C81EBCE" w:rsidR="00597EA9" w:rsidRDefault="00597EA9" w:rsidP="00597EA9">
      <w:pPr>
        <w:spacing w:after="200"/>
        <w:ind w:firstLine="284"/>
        <w:jc w:val="left"/>
        <w:rPr>
          <w:lang w:val="en-GB" w:eastAsia="en-GB" w:bidi="en-GB"/>
        </w:rPr>
      </w:pPr>
      <w:r w:rsidRPr="00597EA9">
        <w:rPr>
          <w:b/>
          <w:lang w:val="en-GB" w:eastAsia="en-GB" w:bidi="en-GB"/>
        </w:rPr>
        <w:t>Normative Reference(s):</w:t>
      </w:r>
      <w:r w:rsidRPr="00597EA9">
        <w:rPr>
          <w:lang w:val="en-GB" w:eastAsia="en-GB" w:bidi="en-GB"/>
        </w:rPr>
        <w:t xml:space="preserve"> /</w:t>
      </w:r>
    </w:p>
    <w:p w14:paraId="40A95DD8" w14:textId="77777777" w:rsidR="00597EA9" w:rsidRPr="00597EA9" w:rsidRDefault="00597EA9" w:rsidP="00597EA9">
      <w:pPr>
        <w:spacing w:after="200"/>
        <w:ind w:firstLine="284"/>
        <w:jc w:val="left"/>
        <w:rPr>
          <w:lang w:val="en-GB" w:eastAsia="en-GB" w:bidi="en-GB"/>
        </w:rPr>
      </w:pPr>
    </w:p>
    <w:sdt>
      <w:sdtPr>
        <w:rPr>
          <w:rFonts w:asciiTheme="minorHAnsi" w:eastAsiaTheme="minorHAnsi" w:hAnsiTheme="minorHAnsi" w:cstheme="minorBidi"/>
          <w:b w:val="0"/>
          <w:bCs w:val="0"/>
          <w:color w:val="auto"/>
          <w:sz w:val="22"/>
          <w:szCs w:val="22"/>
          <w:lang w:eastAsia="en-US"/>
        </w:rPr>
        <w:id w:val="-1175344860"/>
        <w:docPartObj>
          <w:docPartGallery w:val="Table of Contents"/>
          <w:docPartUnique/>
        </w:docPartObj>
      </w:sdtPr>
      <w:sdtEndPr/>
      <w:sdtContent>
        <w:p w14:paraId="19F2EB71" w14:textId="0D00E107" w:rsidR="001C51B7" w:rsidRPr="00C045BE" w:rsidRDefault="001C51B7" w:rsidP="001C51B7">
          <w:pPr>
            <w:pStyle w:val="TOCHeading"/>
            <w:spacing w:before="240" w:after="240"/>
            <w:rPr>
              <w:rFonts w:asciiTheme="minorHAnsi" w:hAnsiTheme="minorHAnsi"/>
              <w:color w:val="auto"/>
              <w:sz w:val="22"/>
              <w:lang w:val="en-US"/>
            </w:rPr>
          </w:pPr>
          <w:r w:rsidRPr="00C045BE">
            <w:rPr>
              <w:rFonts w:asciiTheme="minorHAnsi" w:hAnsiTheme="minorHAnsi"/>
              <w:color w:val="auto"/>
              <w:sz w:val="22"/>
              <w:lang w:val="en-US"/>
            </w:rPr>
            <w:t xml:space="preserve">Table </w:t>
          </w:r>
          <w:r w:rsidR="00C045BE" w:rsidRPr="00C045BE">
            <w:rPr>
              <w:rFonts w:asciiTheme="minorHAnsi" w:hAnsiTheme="minorHAnsi"/>
              <w:color w:val="auto"/>
              <w:sz w:val="22"/>
              <w:lang w:val="en-US"/>
            </w:rPr>
            <w:t xml:space="preserve">of </w:t>
          </w:r>
          <w:proofErr w:type="gramStart"/>
          <w:r w:rsidR="00C045BE" w:rsidRPr="00C045BE">
            <w:rPr>
              <w:rFonts w:asciiTheme="minorHAnsi" w:hAnsiTheme="minorHAnsi"/>
              <w:color w:val="auto"/>
              <w:sz w:val="22"/>
              <w:lang w:val="en-US"/>
            </w:rPr>
            <w:t>content</w:t>
          </w:r>
          <w:r w:rsidR="00597EA9">
            <w:rPr>
              <w:rFonts w:asciiTheme="minorHAnsi" w:hAnsiTheme="minorHAnsi"/>
              <w:color w:val="auto"/>
              <w:sz w:val="22"/>
              <w:lang w:val="en-US"/>
            </w:rPr>
            <w:t>s</w:t>
          </w:r>
          <w:r w:rsidRPr="00C045BE">
            <w:rPr>
              <w:rFonts w:asciiTheme="minorHAnsi" w:hAnsiTheme="minorHAnsi"/>
              <w:color w:val="auto"/>
              <w:sz w:val="22"/>
              <w:lang w:val="en-US"/>
            </w:rPr>
            <w:t> :</w:t>
          </w:r>
          <w:proofErr w:type="gramEnd"/>
        </w:p>
        <w:p w14:paraId="39396C3C" w14:textId="77777777" w:rsidR="00597EA9" w:rsidRDefault="001C51B7">
          <w:pPr>
            <w:pStyle w:val="TOC1"/>
            <w:tabs>
              <w:tab w:val="left" w:pos="440"/>
              <w:tab w:val="right" w:leader="dot" w:pos="10762"/>
            </w:tabs>
            <w:rPr>
              <w:rFonts w:eastAsiaTheme="minorEastAsia"/>
              <w:noProof/>
              <w:lang w:eastAsia="fr-FR"/>
            </w:rPr>
          </w:pPr>
          <w:r>
            <w:fldChar w:fldCharType="begin"/>
          </w:r>
          <w:r>
            <w:instrText xml:space="preserve"> TOC \o "1-3" \h \z \u </w:instrText>
          </w:r>
          <w:r>
            <w:fldChar w:fldCharType="separate"/>
          </w:r>
          <w:hyperlink w:anchor="_Toc5366127" w:history="1">
            <w:r w:rsidR="00597EA9" w:rsidRPr="00501BEE">
              <w:rPr>
                <w:rStyle w:val="Hyperlink"/>
                <w:rFonts w:ascii="Calibri" w:eastAsiaTheme="majorEastAsia" w:hAnsi="Calibri" w:cstheme="majorBidi"/>
                <w:b/>
                <w:bCs/>
                <w:noProof/>
                <w:lang w:val="en-GB" w:eastAsia="en-GB" w:bidi="en-GB"/>
              </w:rPr>
              <w:t>I.</w:t>
            </w:r>
            <w:r w:rsidR="00597EA9">
              <w:rPr>
                <w:rFonts w:eastAsiaTheme="minorEastAsia"/>
                <w:noProof/>
                <w:lang w:eastAsia="fr-FR"/>
              </w:rPr>
              <w:tab/>
            </w:r>
            <w:r w:rsidR="00597EA9" w:rsidRPr="00501BEE">
              <w:rPr>
                <w:rStyle w:val="Hyperlink"/>
                <w:rFonts w:ascii="Calibri" w:eastAsiaTheme="majorEastAsia" w:hAnsi="Calibri" w:cstheme="majorBidi"/>
                <w:b/>
                <w:bCs/>
                <w:noProof/>
                <w:lang w:val="en-GB" w:eastAsia="en-GB" w:bidi="en-GB"/>
              </w:rPr>
              <w:t>Objective of the procedure</w:t>
            </w:r>
            <w:r w:rsidR="00597EA9">
              <w:rPr>
                <w:noProof/>
                <w:webHidden/>
              </w:rPr>
              <w:tab/>
            </w:r>
            <w:r w:rsidR="00597EA9">
              <w:rPr>
                <w:noProof/>
                <w:webHidden/>
              </w:rPr>
              <w:fldChar w:fldCharType="begin"/>
            </w:r>
            <w:r w:rsidR="00597EA9">
              <w:rPr>
                <w:noProof/>
                <w:webHidden/>
              </w:rPr>
              <w:instrText xml:space="preserve"> PAGEREF _Toc5366127 \h </w:instrText>
            </w:r>
            <w:r w:rsidR="00597EA9">
              <w:rPr>
                <w:noProof/>
                <w:webHidden/>
              </w:rPr>
            </w:r>
            <w:r w:rsidR="00597EA9">
              <w:rPr>
                <w:noProof/>
                <w:webHidden/>
              </w:rPr>
              <w:fldChar w:fldCharType="separate"/>
            </w:r>
            <w:r w:rsidR="00597EA9">
              <w:rPr>
                <w:noProof/>
                <w:webHidden/>
              </w:rPr>
              <w:t>2</w:t>
            </w:r>
            <w:r w:rsidR="00597EA9">
              <w:rPr>
                <w:noProof/>
                <w:webHidden/>
              </w:rPr>
              <w:fldChar w:fldCharType="end"/>
            </w:r>
          </w:hyperlink>
        </w:p>
        <w:p w14:paraId="6AFA1009" w14:textId="77777777" w:rsidR="00597EA9" w:rsidRDefault="002B173E">
          <w:pPr>
            <w:pStyle w:val="TOC1"/>
            <w:tabs>
              <w:tab w:val="left" w:pos="440"/>
              <w:tab w:val="right" w:leader="dot" w:pos="10762"/>
            </w:tabs>
            <w:rPr>
              <w:rFonts w:eastAsiaTheme="minorEastAsia"/>
              <w:noProof/>
              <w:lang w:eastAsia="fr-FR"/>
            </w:rPr>
          </w:pPr>
          <w:hyperlink w:anchor="_Toc5366128" w:history="1">
            <w:r w:rsidR="00597EA9" w:rsidRPr="00501BEE">
              <w:rPr>
                <w:rStyle w:val="Hyperlink"/>
                <w:rFonts w:ascii="Calibri" w:eastAsiaTheme="majorEastAsia" w:hAnsi="Calibri" w:cstheme="majorBidi"/>
                <w:b/>
                <w:bCs/>
                <w:noProof/>
                <w:lang w:val="en-GB" w:eastAsia="en-GB" w:bidi="en-GB"/>
              </w:rPr>
              <w:t>II.</w:t>
            </w:r>
            <w:r w:rsidR="00597EA9">
              <w:rPr>
                <w:rFonts w:eastAsiaTheme="minorEastAsia"/>
                <w:noProof/>
                <w:lang w:eastAsia="fr-FR"/>
              </w:rPr>
              <w:tab/>
            </w:r>
            <w:r w:rsidR="00597EA9" w:rsidRPr="00501BEE">
              <w:rPr>
                <w:rStyle w:val="Hyperlink"/>
                <w:rFonts w:ascii="Calibri" w:eastAsiaTheme="majorEastAsia" w:hAnsi="Calibri" w:cstheme="majorBidi"/>
                <w:b/>
                <w:bCs/>
                <w:noProof/>
                <w:lang w:val="en-GB" w:eastAsia="en-GB" w:bidi="en-GB"/>
              </w:rPr>
              <w:t>The internal procedure</w:t>
            </w:r>
            <w:r w:rsidR="00597EA9">
              <w:rPr>
                <w:noProof/>
                <w:webHidden/>
              </w:rPr>
              <w:tab/>
            </w:r>
            <w:r w:rsidR="00597EA9">
              <w:rPr>
                <w:noProof/>
                <w:webHidden/>
              </w:rPr>
              <w:fldChar w:fldCharType="begin"/>
            </w:r>
            <w:r w:rsidR="00597EA9">
              <w:rPr>
                <w:noProof/>
                <w:webHidden/>
              </w:rPr>
              <w:instrText xml:space="preserve"> PAGEREF _Toc5366128 \h </w:instrText>
            </w:r>
            <w:r w:rsidR="00597EA9">
              <w:rPr>
                <w:noProof/>
                <w:webHidden/>
              </w:rPr>
            </w:r>
            <w:r w:rsidR="00597EA9">
              <w:rPr>
                <w:noProof/>
                <w:webHidden/>
              </w:rPr>
              <w:fldChar w:fldCharType="separate"/>
            </w:r>
            <w:r w:rsidR="00597EA9">
              <w:rPr>
                <w:noProof/>
                <w:webHidden/>
              </w:rPr>
              <w:t>2</w:t>
            </w:r>
            <w:r w:rsidR="00597EA9">
              <w:rPr>
                <w:noProof/>
                <w:webHidden/>
              </w:rPr>
              <w:fldChar w:fldCharType="end"/>
            </w:r>
          </w:hyperlink>
        </w:p>
        <w:p w14:paraId="08DBB23C" w14:textId="77777777" w:rsidR="001C51B7" w:rsidRDefault="001C51B7">
          <w:r>
            <w:rPr>
              <w:b/>
              <w:bCs/>
            </w:rPr>
            <w:fldChar w:fldCharType="end"/>
          </w:r>
        </w:p>
      </w:sdtContent>
    </w:sdt>
    <w:p w14:paraId="6F5168AF" w14:textId="77777777" w:rsidR="00FA4442" w:rsidRPr="00947F79" w:rsidRDefault="00FA4442" w:rsidP="00947F79">
      <w:r>
        <w:br w:type="page"/>
      </w:r>
    </w:p>
    <w:p w14:paraId="708E1EB9" w14:textId="77777777" w:rsidR="00597EA9" w:rsidRPr="00597EA9" w:rsidRDefault="00597EA9" w:rsidP="00597EA9">
      <w:pPr>
        <w:keepNext/>
        <w:keepLines/>
        <w:numPr>
          <w:ilvl w:val="0"/>
          <w:numId w:val="17"/>
        </w:numPr>
        <w:spacing w:before="240"/>
        <w:outlineLvl w:val="0"/>
        <w:rPr>
          <w:rFonts w:ascii="Calibri" w:eastAsiaTheme="majorEastAsia" w:hAnsi="Calibri" w:cstheme="majorBidi"/>
          <w:b/>
          <w:bCs/>
          <w:color w:val="005C2F"/>
          <w:sz w:val="32"/>
          <w:szCs w:val="28"/>
          <w:lang w:val="en-GB" w:eastAsia="en-GB" w:bidi="en-GB"/>
        </w:rPr>
      </w:pPr>
      <w:bookmarkStart w:id="1" w:name="_Toc2948022"/>
      <w:bookmarkStart w:id="2" w:name="_Toc5141527"/>
      <w:bookmarkStart w:id="3" w:name="_Toc5366127"/>
      <w:r w:rsidRPr="00597EA9">
        <w:rPr>
          <w:rFonts w:ascii="Calibri" w:eastAsiaTheme="majorEastAsia" w:hAnsi="Calibri" w:cstheme="majorBidi"/>
          <w:b/>
          <w:bCs/>
          <w:color w:val="005C2F"/>
          <w:sz w:val="32"/>
          <w:szCs w:val="28"/>
          <w:lang w:val="en-GB" w:eastAsia="en-GB" w:bidi="en-GB"/>
        </w:rPr>
        <w:lastRenderedPageBreak/>
        <w:t>Objective of the procedure</w:t>
      </w:r>
      <w:bookmarkEnd w:id="1"/>
      <w:bookmarkEnd w:id="2"/>
      <w:bookmarkEnd w:id="3"/>
    </w:p>
    <w:p w14:paraId="173D91A0" w14:textId="77777777" w:rsidR="00597EA9" w:rsidRPr="00597EA9" w:rsidRDefault="00597EA9" w:rsidP="00597EA9">
      <w:pPr>
        <w:spacing w:after="200"/>
        <w:rPr>
          <w:rFonts w:cs="Arial"/>
          <w:lang w:val="en-GB" w:eastAsia="en-GB" w:bidi="en-GB"/>
        </w:rPr>
      </w:pPr>
      <w:r w:rsidRPr="00597EA9">
        <w:rPr>
          <w:lang w:val="en-GB" w:eastAsia="en-GB" w:bidi="en-GB"/>
        </w:rPr>
        <w:t xml:space="preserve">The aim of this internal document is to </w:t>
      </w:r>
      <w:r w:rsidRPr="00597EA9">
        <w:rPr>
          <w:b/>
          <w:lang w:val="en-GB" w:eastAsia="en-GB" w:bidi="en-GB"/>
        </w:rPr>
        <w:t xml:space="preserve">define </w:t>
      </w:r>
      <w:r w:rsidRPr="00597EA9">
        <w:rPr>
          <w:lang w:val="en-GB" w:eastAsia="en-GB" w:bidi="en-GB"/>
        </w:rPr>
        <w:t>a personal data breach in connection with a personal data processing operation.</w:t>
      </w:r>
    </w:p>
    <w:p w14:paraId="300868B0" w14:textId="77777777" w:rsidR="00597EA9" w:rsidRPr="00597EA9" w:rsidRDefault="00597EA9" w:rsidP="00597EA9">
      <w:pPr>
        <w:spacing w:after="200"/>
        <w:rPr>
          <w:rFonts w:cs="Arial"/>
          <w:b/>
          <w:u w:val="single"/>
          <w:lang w:val="en-GB" w:eastAsia="en-GB" w:bidi="en-GB"/>
        </w:rPr>
      </w:pPr>
      <w:r w:rsidRPr="00597EA9">
        <w:rPr>
          <w:b/>
          <w:u w:val="single"/>
          <w:lang w:val="en-GB" w:eastAsia="en-GB" w:bidi="en-GB"/>
        </w:rPr>
        <w:t xml:space="preserve">Definition: </w:t>
      </w:r>
    </w:p>
    <w:p w14:paraId="4DA4FF4E" w14:textId="77777777" w:rsidR="00597EA9" w:rsidRPr="00597EA9" w:rsidRDefault="00597EA9" w:rsidP="00597EA9">
      <w:pPr>
        <w:autoSpaceDE w:val="0"/>
        <w:autoSpaceDN w:val="0"/>
        <w:adjustRightInd w:val="0"/>
        <w:spacing w:after="0" w:line="240" w:lineRule="auto"/>
        <w:rPr>
          <w:rFonts w:cs="Arial"/>
          <w:lang w:val="en-GB" w:eastAsia="en-GB" w:bidi="en-GB"/>
        </w:rPr>
      </w:pPr>
      <w:r w:rsidRPr="00597EA9">
        <w:rPr>
          <w:rFonts w:cs="Arial"/>
          <w:szCs w:val="24"/>
          <w:lang w:val="en-GB" w:eastAsia="en-GB" w:bidi="en-GB"/>
        </w:rPr>
        <w:t>A personal data breach means the loss of availability, integrity or confidentiality of personal data, whether accidentally or unlawfully, during processing of the data by the company.</w:t>
      </w:r>
    </w:p>
    <w:p w14:paraId="4DE3253B" w14:textId="77777777" w:rsidR="00597EA9" w:rsidRPr="00597EA9" w:rsidRDefault="00597EA9" w:rsidP="00597EA9">
      <w:pPr>
        <w:autoSpaceDE w:val="0"/>
        <w:autoSpaceDN w:val="0"/>
        <w:adjustRightInd w:val="0"/>
        <w:spacing w:after="0" w:line="240" w:lineRule="auto"/>
        <w:rPr>
          <w:rFonts w:cs="Arial"/>
          <w:lang w:val="en-GB" w:eastAsia="en-GB" w:bidi="en-GB"/>
        </w:rPr>
      </w:pPr>
    </w:p>
    <w:p w14:paraId="1E1836BB" w14:textId="77777777" w:rsidR="00597EA9" w:rsidRPr="00597EA9" w:rsidRDefault="00597EA9" w:rsidP="00597EA9">
      <w:pPr>
        <w:autoSpaceDE w:val="0"/>
        <w:autoSpaceDN w:val="0"/>
        <w:adjustRightInd w:val="0"/>
        <w:spacing w:after="0" w:line="240" w:lineRule="auto"/>
        <w:rPr>
          <w:rFonts w:cs="Arial"/>
          <w:lang w:val="en-GB" w:eastAsia="en-GB" w:bidi="en-GB"/>
        </w:rPr>
      </w:pPr>
      <w:r w:rsidRPr="00597EA9">
        <w:rPr>
          <w:rFonts w:cs="Arial"/>
          <w:szCs w:val="24"/>
          <w:lang w:val="en-GB" w:eastAsia="en-GB" w:bidi="en-GB"/>
        </w:rPr>
        <w:t>A breach of personal data due to a company's carelessness and negligence when processing such data now carries a direct and heavy penalty including criminal sanctions.</w:t>
      </w:r>
    </w:p>
    <w:p w14:paraId="6323A822" w14:textId="0F862B54" w:rsidR="00C77014" w:rsidRPr="002B173E" w:rsidRDefault="00597EA9" w:rsidP="00C77014">
      <w:pPr>
        <w:rPr>
          <w:lang w:val="en-US"/>
        </w:rPr>
      </w:pPr>
      <w:r w:rsidRPr="002B173E">
        <w:rPr>
          <w:lang w:val="en-US"/>
        </w:rPr>
        <w:t xml:space="preserve"> </w:t>
      </w:r>
    </w:p>
    <w:p w14:paraId="74F932E8" w14:textId="77777777" w:rsidR="00597EA9" w:rsidRPr="00597EA9" w:rsidRDefault="00597EA9" w:rsidP="00597EA9">
      <w:pPr>
        <w:keepNext/>
        <w:keepLines/>
        <w:numPr>
          <w:ilvl w:val="0"/>
          <w:numId w:val="17"/>
        </w:numPr>
        <w:tabs>
          <w:tab w:val="num" w:pos="360"/>
        </w:tabs>
        <w:spacing w:before="240" w:after="200"/>
        <w:ind w:left="0" w:firstLine="0"/>
        <w:jc w:val="left"/>
        <w:outlineLvl w:val="0"/>
        <w:rPr>
          <w:rFonts w:ascii="Calibri" w:eastAsiaTheme="majorEastAsia" w:hAnsi="Calibri" w:cstheme="majorBidi"/>
          <w:b/>
          <w:bCs/>
          <w:color w:val="005C2F"/>
          <w:sz w:val="32"/>
          <w:szCs w:val="28"/>
          <w:lang w:val="en-GB" w:eastAsia="en-GB" w:bidi="en-GB"/>
        </w:rPr>
      </w:pPr>
      <w:bookmarkStart w:id="4" w:name="_Toc2948023"/>
      <w:bookmarkStart w:id="5" w:name="_Toc5141528"/>
      <w:bookmarkStart w:id="6" w:name="_Toc5366128"/>
      <w:r w:rsidRPr="00597EA9">
        <w:rPr>
          <w:rFonts w:ascii="Calibri" w:eastAsiaTheme="majorEastAsia" w:hAnsi="Calibri" w:cstheme="majorBidi"/>
          <w:b/>
          <w:bCs/>
          <w:color w:val="005C2F"/>
          <w:sz w:val="32"/>
          <w:szCs w:val="28"/>
          <w:lang w:val="en-GB" w:eastAsia="en-GB" w:bidi="en-GB"/>
        </w:rPr>
        <w:t>The internal procedure</w:t>
      </w:r>
      <w:bookmarkEnd w:id="4"/>
      <w:bookmarkEnd w:id="5"/>
      <w:bookmarkEnd w:id="6"/>
    </w:p>
    <w:p w14:paraId="1722D16A" w14:textId="77777777" w:rsidR="00597EA9" w:rsidRPr="00597EA9" w:rsidRDefault="00597EA9" w:rsidP="00597EA9">
      <w:pPr>
        <w:tabs>
          <w:tab w:val="left" w:pos="3705"/>
        </w:tabs>
        <w:spacing w:after="200"/>
        <w:jc w:val="left"/>
        <w:rPr>
          <w:b/>
          <w:lang w:val="en-GB" w:eastAsia="en-GB" w:bidi="en-GB"/>
        </w:rPr>
      </w:pPr>
      <w:r w:rsidRPr="00597EA9">
        <w:rPr>
          <w:b/>
          <w:u w:val="single"/>
          <w:lang w:val="en-GB" w:eastAsia="en-GB" w:bidi="en-GB"/>
        </w:rPr>
        <w:t>Step-by-step approach</w:t>
      </w:r>
      <w:r w:rsidRPr="00597EA9">
        <w:rPr>
          <w:b/>
          <w:lang w:val="en-GB" w:eastAsia="en-GB" w:bidi="en-GB"/>
        </w:rPr>
        <w:t>:</w:t>
      </w:r>
      <w:r w:rsidRPr="00597EA9">
        <w:rPr>
          <w:b/>
          <w:lang w:val="en-GB" w:eastAsia="en-GB" w:bidi="en-GB"/>
        </w:rPr>
        <w:tab/>
      </w:r>
    </w:p>
    <w:p w14:paraId="2DC88EF9" w14:textId="77777777" w:rsidR="00597EA9" w:rsidRPr="00597EA9" w:rsidRDefault="00597EA9" w:rsidP="00597EA9">
      <w:pPr>
        <w:numPr>
          <w:ilvl w:val="0"/>
          <w:numId w:val="22"/>
        </w:numPr>
        <w:autoSpaceDE w:val="0"/>
        <w:autoSpaceDN w:val="0"/>
        <w:adjustRightInd w:val="0"/>
        <w:spacing w:after="0" w:line="240" w:lineRule="auto"/>
        <w:jc w:val="left"/>
        <w:rPr>
          <w:lang w:val="en-GB" w:eastAsia="en-GB" w:bidi="en-GB"/>
        </w:rPr>
      </w:pPr>
      <w:r w:rsidRPr="00597EA9">
        <w:rPr>
          <w:szCs w:val="24"/>
          <w:lang w:val="en-GB" w:eastAsia="en-GB" w:bidi="en-GB"/>
        </w:rPr>
        <w:t xml:space="preserve">All MANE Group employees, customers, suppliers,  subcontractors, service providers and other partners or contractors who become aware of a breach of the obligations arising from the European General Data Protection Regulation (GDPR) must notify directly and immediately the Group's Data Protection Officer (DPO) Julie </w:t>
      </w:r>
      <w:proofErr w:type="spellStart"/>
      <w:r w:rsidRPr="00597EA9">
        <w:rPr>
          <w:szCs w:val="24"/>
          <w:lang w:val="en-GB" w:eastAsia="en-GB" w:bidi="en-GB"/>
        </w:rPr>
        <w:t>Royo-Renaudin</w:t>
      </w:r>
      <w:proofErr w:type="spellEnd"/>
      <w:r w:rsidRPr="00597EA9">
        <w:rPr>
          <w:szCs w:val="24"/>
          <w:lang w:val="en-GB" w:eastAsia="en-GB" w:bidi="en-GB"/>
        </w:rPr>
        <w:t xml:space="preserve"> (SJPI) at the email address </w:t>
      </w:r>
      <w:hyperlink r:id="rId11">
        <w:r w:rsidRPr="00597EA9">
          <w:rPr>
            <w:color w:val="0000FF"/>
            <w:szCs w:val="24"/>
            <w:u w:val="single"/>
            <w:lang w:val="en-GB" w:eastAsia="en-GB" w:bidi="en-GB"/>
          </w:rPr>
          <w:t>dpo@mane.com</w:t>
        </w:r>
      </w:hyperlink>
      <w:r w:rsidRPr="00597EA9">
        <w:rPr>
          <w:szCs w:val="24"/>
          <w:lang w:val="en-GB" w:eastAsia="en-GB" w:bidi="en-GB"/>
        </w:rPr>
        <w:t xml:space="preserve"> or the relevant DP Coordinator who will forward the information immediately to the DPO.</w:t>
      </w:r>
    </w:p>
    <w:p w14:paraId="0221BA88" w14:textId="77777777" w:rsidR="00597EA9" w:rsidRPr="00597EA9" w:rsidRDefault="00597EA9" w:rsidP="00597EA9">
      <w:pPr>
        <w:autoSpaceDE w:val="0"/>
        <w:autoSpaceDN w:val="0"/>
        <w:adjustRightInd w:val="0"/>
        <w:spacing w:after="0" w:line="240" w:lineRule="auto"/>
        <w:ind w:left="360"/>
        <w:rPr>
          <w:lang w:val="en-GB" w:eastAsia="en-GB" w:bidi="en-GB"/>
        </w:rPr>
      </w:pPr>
    </w:p>
    <w:p w14:paraId="62FD9F3D" w14:textId="77777777" w:rsidR="00597EA9" w:rsidRPr="00597EA9" w:rsidRDefault="00597EA9" w:rsidP="00597EA9">
      <w:pPr>
        <w:autoSpaceDE w:val="0"/>
        <w:autoSpaceDN w:val="0"/>
        <w:adjustRightInd w:val="0"/>
        <w:spacing w:after="0" w:line="240" w:lineRule="auto"/>
        <w:ind w:left="360"/>
        <w:rPr>
          <w:lang w:val="en-GB" w:eastAsia="en-GB" w:bidi="en-GB"/>
        </w:rPr>
      </w:pPr>
      <w:r w:rsidRPr="00597EA9">
        <w:rPr>
          <w:szCs w:val="24"/>
          <w:lang w:val="en-GB" w:eastAsia="en-GB" w:bidi="en-GB"/>
        </w:rPr>
        <w:t>Any such notifications to the DPO at the email address</w:t>
      </w:r>
      <w:hyperlink r:id="rId12">
        <w:r w:rsidRPr="00597EA9">
          <w:rPr>
            <w:szCs w:val="24"/>
            <w:lang w:val="en-GB" w:eastAsia="en-GB" w:bidi="en-GB"/>
          </w:rPr>
          <w:t>dpo@mane.com</w:t>
        </w:r>
      </w:hyperlink>
      <w:r w:rsidRPr="00597EA9">
        <w:rPr>
          <w:szCs w:val="24"/>
          <w:lang w:val="en-GB" w:eastAsia="en-GB" w:bidi="en-GB"/>
        </w:rPr>
        <w:t xml:space="preserve"> shall at least: </w:t>
      </w:r>
    </w:p>
    <w:p w14:paraId="36D2CAF8" w14:textId="77777777" w:rsidR="00597EA9" w:rsidRPr="00597EA9" w:rsidRDefault="00597EA9" w:rsidP="00597EA9">
      <w:pPr>
        <w:autoSpaceDE w:val="0"/>
        <w:autoSpaceDN w:val="0"/>
        <w:adjustRightInd w:val="0"/>
        <w:spacing w:after="0" w:line="240" w:lineRule="auto"/>
        <w:ind w:left="360"/>
        <w:rPr>
          <w:lang w:val="en-GB" w:eastAsia="en-GB" w:bidi="en-GB"/>
        </w:rPr>
      </w:pPr>
    </w:p>
    <w:p w14:paraId="4FC15479" w14:textId="77777777" w:rsidR="00597EA9" w:rsidRPr="00597EA9" w:rsidRDefault="00597EA9" w:rsidP="00597EA9">
      <w:pPr>
        <w:numPr>
          <w:ilvl w:val="0"/>
          <w:numId w:val="21"/>
        </w:numPr>
        <w:autoSpaceDE w:val="0"/>
        <w:autoSpaceDN w:val="0"/>
        <w:adjustRightInd w:val="0"/>
        <w:spacing w:after="0" w:line="240" w:lineRule="auto"/>
        <w:ind w:left="709" w:hanging="709"/>
        <w:jc w:val="left"/>
        <w:rPr>
          <w:rFonts w:cs="Arial"/>
          <w:lang w:val="en-GB" w:eastAsia="en-GB" w:bidi="en-GB"/>
        </w:rPr>
      </w:pPr>
      <w:r w:rsidRPr="00597EA9">
        <w:rPr>
          <w:rFonts w:cs="Arial"/>
          <w:szCs w:val="24"/>
          <w:lang w:val="en-GB" w:eastAsia="en-GB" w:bidi="en-GB"/>
        </w:rPr>
        <w:t>Communicate the name and contact details of the person reporting the alleged breach or those of another contact point where more information can be obtained;</w:t>
      </w:r>
    </w:p>
    <w:p w14:paraId="46D291A1" w14:textId="77777777" w:rsidR="00597EA9" w:rsidRPr="00597EA9" w:rsidRDefault="00597EA9" w:rsidP="00597EA9">
      <w:pPr>
        <w:numPr>
          <w:ilvl w:val="0"/>
          <w:numId w:val="21"/>
        </w:numPr>
        <w:autoSpaceDE w:val="0"/>
        <w:autoSpaceDN w:val="0"/>
        <w:adjustRightInd w:val="0"/>
        <w:spacing w:after="0" w:line="240" w:lineRule="auto"/>
        <w:ind w:left="709" w:hanging="709"/>
        <w:jc w:val="left"/>
        <w:rPr>
          <w:rFonts w:cs="Arial"/>
          <w:lang w:val="en-GB" w:eastAsia="en-GB" w:bidi="en-GB"/>
        </w:rPr>
      </w:pPr>
      <w:r w:rsidRPr="00597EA9">
        <w:rPr>
          <w:rFonts w:cs="Arial"/>
          <w:szCs w:val="24"/>
          <w:lang w:val="en-GB" w:eastAsia="en-GB" w:bidi="en-GB"/>
        </w:rPr>
        <w:t>Communicate the name of the personal data processing operation concerned;</w:t>
      </w:r>
    </w:p>
    <w:p w14:paraId="1729A801" w14:textId="77777777" w:rsidR="00597EA9" w:rsidRPr="00597EA9" w:rsidRDefault="00597EA9" w:rsidP="00597EA9">
      <w:pPr>
        <w:numPr>
          <w:ilvl w:val="0"/>
          <w:numId w:val="21"/>
        </w:numPr>
        <w:autoSpaceDE w:val="0"/>
        <w:autoSpaceDN w:val="0"/>
        <w:adjustRightInd w:val="0"/>
        <w:spacing w:after="0" w:line="240" w:lineRule="auto"/>
        <w:ind w:left="709" w:hanging="709"/>
        <w:jc w:val="left"/>
        <w:rPr>
          <w:rFonts w:cs="Arial"/>
          <w:lang w:val="en-GB" w:eastAsia="en-GB" w:bidi="en-GB"/>
        </w:rPr>
      </w:pPr>
      <w:r w:rsidRPr="00597EA9">
        <w:rPr>
          <w:rFonts w:cs="Arial"/>
          <w:szCs w:val="24"/>
          <w:lang w:val="en-GB" w:eastAsia="en-GB" w:bidi="en-GB"/>
        </w:rPr>
        <w:t>Communicate the name of the data controller and the relevant department and entity within the Group;</w:t>
      </w:r>
    </w:p>
    <w:p w14:paraId="341EF206" w14:textId="77777777" w:rsidR="00597EA9" w:rsidRPr="00597EA9" w:rsidRDefault="00597EA9" w:rsidP="00597EA9">
      <w:pPr>
        <w:numPr>
          <w:ilvl w:val="0"/>
          <w:numId w:val="21"/>
        </w:numPr>
        <w:autoSpaceDE w:val="0"/>
        <w:autoSpaceDN w:val="0"/>
        <w:adjustRightInd w:val="0"/>
        <w:spacing w:after="0" w:line="240" w:lineRule="auto"/>
        <w:ind w:left="709" w:hanging="709"/>
        <w:jc w:val="left"/>
        <w:rPr>
          <w:rFonts w:cs="Arial"/>
          <w:lang w:val="en-GB" w:eastAsia="en-GB" w:bidi="en-GB"/>
        </w:rPr>
      </w:pPr>
      <w:r w:rsidRPr="00597EA9">
        <w:rPr>
          <w:rFonts w:cs="Arial"/>
          <w:szCs w:val="24"/>
          <w:lang w:val="en-GB" w:eastAsia="en-GB" w:bidi="en-GB"/>
        </w:rPr>
        <w:t>Describe the nature of the personal data breach, including the categories and approximate number of persons involved in the breach;</w:t>
      </w:r>
    </w:p>
    <w:p w14:paraId="2237AAD8" w14:textId="77777777" w:rsidR="00597EA9" w:rsidRPr="00597EA9" w:rsidRDefault="00597EA9" w:rsidP="00597EA9">
      <w:pPr>
        <w:numPr>
          <w:ilvl w:val="0"/>
          <w:numId w:val="21"/>
        </w:numPr>
        <w:autoSpaceDE w:val="0"/>
        <w:autoSpaceDN w:val="0"/>
        <w:adjustRightInd w:val="0"/>
        <w:spacing w:after="0" w:line="240" w:lineRule="auto"/>
        <w:ind w:left="709" w:hanging="709"/>
        <w:jc w:val="left"/>
        <w:rPr>
          <w:rFonts w:cs="Arial"/>
          <w:lang w:val="en-GB" w:eastAsia="en-GB" w:bidi="en-GB"/>
        </w:rPr>
      </w:pPr>
      <w:r w:rsidRPr="00597EA9">
        <w:rPr>
          <w:rFonts w:cs="Arial"/>
          <w:szCs w:val="24"/>
          <w:lang w:val="en-GB" w:eastAsia="en-GB" w:bidi="en-GB"/>
        </w:rPr>
        <w:t>Describe the likely consequences of the personal data breach;</w:t>
      </w:r>
    </w:p>
    <w:p w14:paraId="4CA1F211" w14:textId="77777777" w:rsidR="00597EA9" w:rsidRPr="00597EA9" w:rsidRDefault="00597EA9" w:rsidP="00597EA9">
      <w:pPr>
        <w:numPr>
          <w:ilvl w:val="0"/>
          <w:numId w:val="21"/>
        </w:numPr>
        <w:autoSpaceDE w:val="0"/>
        <w:autoSpaceDN w:val="0"/>
        <w:adjustRightInd w:val="0"/>
        <w:spacing w:after="0" w:line="240" w:lineRule="auto"/>
        <w:ind w:left="709" w:hanging="709"/>
        <w:jc w:val="left"/>
        <w:rPr>
          <w:rFonts w:cs="Arial"/>
          <w:lang w:val="en-GB" w:eastAsia="en-GB" w:bidi="en-GB"/>
        </w:rPr>
      </w:pPr>
      <w:r w:rsidRPr="00597EA9">
        <w:rPr>
          <w:rFonts w:cs="Arial"/>
          <w:szCs w:val="24"/>
          <w:lang w:val="en-GB" w:eastAsia="en-GB" w:bidi="en-GB"/>
        </w:rPr>
        <w:t>Describe the measures taken or that should be taken to address the personal data breach or to mitigate its adverse effects.</w:t>
      </w:r>
    </w:p>
    <w:p w14:paraId="5728993F" w14:textId="77777777" w:rsidR="00597EA9" w:rsidRPr="00597EA9" w:rsidRDefault="00597EA9" w:rsidP="00597EA9">
      <w:pPr>
        <w:spacing w:before="120" w:after="0" w:line="240" w:lineRule="auto"/>
        <w:ind w:left="357"/>
        <w:jc w:val="left"/>
        <w:rPr>
          <w:lang w:val="en-GB" w:eastAsia="en-GB" w:bidi="en-GB"/>
        </w:rPr>
      </w:pPr>
    </w:p>
    <w:p w14:paraId="4B8BEFC3" w14:textId="77777777" w:rsidR="00597EA9" w:rsidRDefault="00597EA9" w:rsidP="00597EA9">
      <w:pPr>
        <w:spacing w:before="120" w:after="0" w:line="240" w:lineRule="auto"/>
        <w:ind w:left="357"/>
        <w:jc w:val="left"/>
        <w:rPr>
          <w:lang w:val="en-GB" w:eastAsia="en-GB" w:bidi="en-GB"/>
        </w:rPr>
      </w:pPr>
    </w:p>
    <w:p w14:paraId="5279D891" w14:textId="77777777" w:rsidR="00597EA9" w:rsidRDefault="00597EA9" w:rsidP="00597EA9">
      <w:pPr>
        <w:spacing w:before="120" w:after="0" w:line="240" w:lineRule="auto"/>
        <w:ind w:left="357"/>
        <w:jc w:val="left"/>
        <w:rPr>
          <w:lang w:val="en-GB" w:eastAsia="en-GB" w:bidi="en-GB"/>
        </w:rPr>
      </w:pPr>
    </w:p>
    <w:p w14:paraId="27760C84" w14:textId="77777777" w:rsidR="00597EA9" w:rsidRDefault="00597EA9" w:rsidP="00597EA9">
      <w:pPr>
        <w:spacing w:before="120" w:after="0" w:line="240" w:lineRule="auto"/>
        <w:ind w:left="357"/>
        <w:jc w:val="left"/>
        <w:rPr>
          <w:lang w:val="en-GB" w:eastAsia="en-GB" w:bidi="en-GB"/>
        </w:rPr>
      </w:pPr>
    </w:p>
    <w:p w14:paraId="76CAF59F" w14:textId="77777777" w:rsidR="00597EA9" w:rsidRDefault="00597EA9" w:rsidP="00597EA9">
      <w:pPr>
        <w:spacing w:before="120" w:after="0" w:line="240" w:lineRule="auto"/>
        <w:ind w:left="357"/>
        <w:jc w:val="left"/>
        <w:rPr>
          <w:lang w:val="en-GB" w:eastAsia="en-GB" w:bidi="en-GB"/>
        </w:rPr>
      </w:pPr>
    </w:p>
    <w:p w14:paraId="633DD483" w14:textId="77777777" w:rsidR="00597EA9" w:rsidRDefault="00597EA9" w:rsidP="00597EA9">
      <w:pPr>
        <w:spacing w:before="120" w:after="0" w:line="240" w:lineRule="auto"/>
        <w:ind w:left="357"/>
        <w:jc w:val="left"/>
        <w:rPr>
          <w:lang w:val="en-GB" w:eastAsia="en-GB" w:bidi="en-GB"/>
        </w:rPr>
      </w:pPr>
    </w:p>
    <w:p w14:paraId="560E9A41" w14:textId="77777777" w:rsidR="00597EA9" w:rsidRDefault="00597EA9" w:rsidP="00597EA9">
      <w:pPr>
        <w:spacing w:before="120" w:after="0" w:line="240" w:lineRule="auto"/>
        <w:ind w:left="357"/>
        <w:jc w:val="left"/>
        <w:rPr>
          <w:lang w:val="en-GB" w:eastAsia="en-GB" w:bidi="en-GB"/>
        </w:rPr>
      </w:pPr>
    </w:p>
    <w:p w14:paraId="09408256" w14:textId="77777777" w:rsidR="00597EA9" w:rsidRDefault="00597EA9" w:rsidP="00597EA9">
      <w:pPr>
        <w:spacing w:before="120" w:after="0" w:line="240" w:lineRule="auto"/>
        <w:ind w:left="357"/>
        <w:jc w:val="left"/>
        <w:rPr>
          <w:lang w:val="en-GB" w:eastAsia="en-GB" w:bidi="en-GB"/>
        </w:rPr>
      </w:pPr>
    </w:p>
    <w:p w14:paraId="0AD4E51A" w14:textId="77777777" w:rsidR="00597EA9" w:rsidRDefault="00597EA9" w:rsidP="00597EA9">
      <w:pPr>
        <w:spacing w:before="120" w:after="0" w:line="240" w:lineRule="auto"/>
        <w:ind w:left="357"/>
        <w:jc w:val="left"/>
        <w:rPr>
          <w:lang w:val="en-GB" w:eastAsia="en-GB" w:bidi="en-GB"/>
        </w:rPr>
      </w:pPr>
    </w:p>
    <w:p w14:paraId="2465D157" w14:textId="77777777" w:rsidR="00597EA9" w:rsidRPr="00597EA9" w:rsidRDefault="00597EA9" w:rsidP="00597EA9">
      <w:pPr>
        <w:spacing w:before="120" w:after="0" w:line="240" w:lineRule="auto"/>
        <w:ind w:left="357"/>
        <w:jc w:val="left"/>
        <w:rPr>
          <w:lang w:val="en-GB" w:eastAsia="en-GB" w:bidi="en-GB"/>
        </w:rPr>
      </w:pPr>
    </w:p>
    <w:p w14:paraId="68DDE7EF" w14:textId="77777777" w:rsidR="00597EA9" w:rsidRPr="00597EA9" w:rsidRDefault="00597EA9" w:rsidP="00597EA9">
      <w:pPr>
        <w:numPr>
          <w:ilvl w:val="0"/>
          <w:numId w:val="22"/>
        </w:numPr>
        <w:tabs>
          <w:tab w:val="num" w:pos="0"/>
        </w:tabs>
        <w:spacing w:before="120" w:after="0" w:line="240" w:lineRule="auto"/>
        <w:ind w:left="357" w:hanging="357"/>
        <w:jc w:val="left"/>
        <w:rPr>
          <w:lang w:val="en-GB" w:eastAsia="en-GB" w:bidi="en-GB"/>
        </w:rPr>
      </w:pPr>
      <w:r w:rsidRPr="00597EA9">
        <w:rPr>
          <w:lang w:val="en-GB" w:eastAsia="en-GB" w:bidi="en-GB"/>
        </w:rPr>
        <w:lastRenderedPageBreak/>
        <w:t xml:space="preserve">The DPO shall inform the Information Systems Director (ISD) of the breach by email without delay. </w:t>
      </w:r>
    </w:p>
    <w:p w14:paraId="2417A015" w14:textId="77777777" w:rsidR="00597EA9" w:rsidRDefault="00597EA9" w:rsidP="00597EA9">
      <w:pPr>
        <w:numPr>
          <w:ilvl w:val="0"/>
          <w:numId w:val="22"/>
        </w:numPr>
        <w:tabs>
          <w:tab w:val="num" w:pos="0"/>
        </w:tabs>
        <w:spacing w:before="120" w:after="0" w:line="240" w:lineRule="auto"/>
        <w:ind w:left="357" w:hanging="357"/>
        <w:jc w:val="left"/>
        <w:rPr>
          <w:lang w:val="en-GB" w:eastAsia="en-GB" w:bidi="en-GB"/>
        </w:rPr>
      </w:pPr>
      <w:r w:rsidRPr="00597EA9">
        <w:rPr>
          <w:lang w:val="en-GB" w:eastAsia="en-GB" w:bidi="en-GB"/>
        </w:rPr>
        <w:t>The DPO and the ISD shall convene the employees concerned for preliminary implementation of the compliance actions and a decision on what further course of action to take.</w:t>
      </w:r>
    </w:p>
    <w:p w14:paraId="5E465454" w14:textId="77777777" w:rsidR="00597EA9" w:rsidRDefault="00597EA9" w:rsidP="00597EA9">
      <w:pPr>
        <w:spacing w:before="120" w:after="0" w:line="240" w:lineRule="auto"/>
        <w:jc w:val="left"/>
        <w:rPr>
          <w:lang w:val="en-GB" w:eastAsia="en-GB" w:bidi="en-GB"/>
        </w:rPr>
      </w:pPr>
    </w:p>
    <w:p w14:paraId="2DF69C7B" w14:textId="77777777" w:rsidR="00597EA9" w:rsidRDefault="00597EA9" w:rsidP="00597EA9">
      <w:pPr>
        <w:autoSpaceDE w:val="0"/>
        <w:autoSpaceDN w:val="0"/>
        <w:adjustRightInd w:val="0"/>
        <w:spacing w:after="0" w:line="240" w:lineRule="auto"/>
        <w:jc w:val="left"/>
        <w:rPr>
          <w:rFonts w:cs="Arial"/>
          <w:lang w:val="en-GB" w:eastAsia="en-GB" w:bidi="en-GB"/>
        </w:rPr>
      </w:pPr>
    </w:p>
    <w:p w14:paraId="6B0453E2" w14:textId="77777777" w:rsidR="00597EA9" w:rsidRPr="00597EA9" w:rsidRDefault="00597EA9" w:rsidP="00597EA9">
      <w:pPr>
        <w:spacing w:after="200"/>
        <w:ind w:left="360"/>
        <w:contextualSpacing/>
        <w:jc w:val="left"/>
        <w:rPr>
          <w:b/>
          <w:u w:val="single"/>
          <w:lang w:val="en-GB" w:eastAsia="en-GB" w:bidi="en-GB"/>
        </w:rPr>
      </w:pPr>
      <w:r w:rsidRPr="00597EA9">
        <w:rPr>
          <w:b/>
          <w:u w:val="single"/>
          <w:lang w:val="en-GB" w:eastAsia="en-GB" w:bidi="en-GB"/>
        </w:rPr>
        <w:t>Characterisation of the breach</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87"/>
        <w:gridCol w:w="3827"/>
      </w:tblGrid>
      <w:tr w:rsidR="00597EA9" w:rsidRPr="00597EA9" w14:paraId="193D50C8" w14:textId="77777777" w:rsidTr="006115D0">
        <w:tc>
          <w:tcPr>
            <w:tcW w:w="5387" w:type="dxa"/>
            <w:shd w:val="pct25" w:color="000000" w:fill="FFFFFF"/>
            <w:vAlign w:val="center"/>
          </w:tcPr>
          <w:p w14:paraId="2012EECA" w14:textId="77777777" w:rsidR="00597EA9" w:rsidRPr="00597EA9" w:rsidRDefault="00597EA9" w:rsidP="00597EA9">
            <w:pPr>
              <w:spacing w:after="200"/>
              <w:jc w:val="center"/>
              <w:rPr>
                <w:rFonts w:cs="Arial"/>
                <w:b/>
                <w:sz w:val="24"/>
                <w:lang w:val="en-GB" w:eastAsia="en-GB" w:bidi="en-GB"/>
              </w:rPr>
            </w:pPr>
          </w:p>
        </w:tc>
        <w:tc>
          <w:tcPr>
            <w:tcW w:w="3827" w:type="dxa"/>
            <w:shd w:val="pct25" w:color="000000" w:fill="FFFFFF"/>
          </w:tcPr>
          <w:p w14:paraId="115F89FC" w14:textId="77777777" w:rsidR="00597EA9" w:rsidRPr="00597EA9" w:rsidRDefault="00597EA9" w:rsidP="00597EA9">
            <w:pPr>
              <w:tabs>
                <w:tab w:val="center" w:pos="4536"/>
                <w:tab w:val="right" w:pos="9072"/>
              </w:tabs>
              <w:spacing w:after="0" w:line="240" w:lineRule="auto"/>
              <w:jc w:val="center"/>
              <w:rPr>
                <w:rFonts w:cs="Arial"/>
                <w:b/>
                <w:sz w:val="24"/>
                <w:lang w:val="en-GB" w:eastAsia="en-GB" w:bidi="en-GB"/>
              </w:rPr>
            </w:pPr>
          </w:p>
        </w:tc>
      </w:tr>
      <w:tr w:rsidR="00597EA9" w:rsidRPr="002B173E" w14:paraId="7DC8DFE1" w14:textId="77777777" w:rsidTr="006115D0">
        <w:trPr>
          <w:trHeight w:val="480"/>
        </w:trPr>
        <w:tc>
          <w:tcPr>
            <w:tcW w:w="5387" w:type="dxa"/>
            <w:vAlign w:val="center"/>
          </w:tcPr>
          <w:p w14:paraId="6050C007" w14:textId="77777777" w:rsidR="00597EA9" w:rsidRPr="00597EA9" w:rsidRDefault="00597EA9" w:rsidP="00597EA9">
            <w:pPr>
              <w:spacing w:after="200"/>
              <w:jc w:val="left"/>
              <w:rPr>
                <w:rFonts w:cs="Arial"/>
                <w:lang w:val="en-GB" w:eastAsia="en-GB" w:bidi="en-GB"/>
              </w:rPr>
            </w:pPr>
            <w:r w:rsidRPr="00597EA9">
              <w:rPr>
                <w:lang w:val="en-GB" w:eastAsia="en-GB" w:bidi="en-GB"/>
              </w:rPr>
              <w:t>Personal data processing operation concerned/Nature of the personal data concerned</w:t>
            </w:r>
          </w:p>
        </w:tc>
        <w:tc>
          <w:tcPr>
            <w:tcW w:w="3827" w:type="dxa"/>
            <w:vAlign w:val="center"/>
          </w:tcPr>
          <w:p w14:paraId="14E3AF4D" w14:textId="77777777" w:rsidR="00597EA9" w:rsidRPr="00597EA9" w:rsidRDefault="00597EA9" w:rsidP="00597EA9">
            <w:pPr>
              <w:tabs>
                <w:tab w:val="center" w:pos="4536"/>
                <w:tab w:val="right" w:pos="9072"/>
              </w:tabs>
              <w:spacing w:after="0" w:line="240" w:lineRule="auto"/>
              <w:jc w:val="left"/>
              <w:rPr>
                <w:rFonts w:cs="Arial"/>
                <w:lang w:val="en-GB" w:eastAsia="en-GB" w:bidi="en-GB"/>
              </w:rPr>
            </w:pPr>
          </w:p>
        </w:tc>
      </w:tr>
      <w:tr w:rsidR="00597EA9" w:rsidRPr="00597EA9" w14:paraId="0824AF9F" w14:textId="77777777" w:rsidTr="006115D0">
        <w:trPr>
          <w:trHeight w:val="480"/>
        </w:trPr>
        <w:tc>
          <w:tcPr>
            <w:tcW w:w="5387" w:type="dxa"/>
            <w:vAlign w:val="center"/>
          </w:tcPr>
          <w:p w14:paraId="1E41C2CF" w14:textId="77777777" w:rsidR="00597EA9" w:rsidRPr="00597EA9" w:rsidRDefault="00597EA9" w:rsidP="00597EA9">
            <w:pPr>
              <w:spacing w:after="200"/>
              <w:jc w:val="left"/>
              <w:rPr>
                <w:rFonts w:cs="Arial"/>
                <w:lang w:val="en-GB" w:eastAsia="en-GB" w:bidi="en-GB"/>
              </w:rPr>
            </w:pPr>
            <w:r w:rsidRPr="00597EA9">
              <w:rPr>
                <w:lang w:val="en-GB" w:eastAsia="en-GB" w:bidi="en-GB"/>
              </w:rPr>
              <w:t>Human or computer error</w:t>
            </w:r>
          </w:p>
        </w:tc>
        <w:tc>
          <w:tcPr>
            <w:tcW w:w="3827" w:type="dxa"/>
            <w:vAlign w:val="center"/>
          </w:tcPr>
          <w:p w14:paraId="5BDB53A4" w14:textId="77777777" w:rsidR="00597EA9" w:rsidRPr="00597EA9" w:rsidRDefault="00597EA9" w:rsidP="00597EA9">
            <w:pPr>
              <w:tabs>
                <w:tab w:val="center" w:pos="4536"/>
                <w:tab w:val="right" w:pos="9072"/>
              </w:tabs>
              <w:spacing w:after="0" w:line="240" w:lineRule="auto"/>
              <w:jc w:val="left"/>
              <w:rPr>
                <w:rFonts w:cs="Arial"/>
                <w:lang w:val="en-GB" w:eastAsia="en-GB" w:bidi="en-GB"/>
              </w:rPr>
            </w:pPr>
          </w:p>
        </w:tc>
      </w:tr>
      <w:tr w:rsidR="00597EA9" w:rsidRPr="00597EA9" w14:paraId="183E734D" w14:textId="77777777" w:rsidTr="006115D0">
        <w:trPr>
          <w:trHeight w:val="480"/>
        </w:trPr>
        <w:tc>
          <w:tcPr>
            <w:tcW w:w="5387" w:type="dxa"/>
            <w:vAlign w:val="center"/>
          </w:tcPr>
          <w:p w14:paraId="02720F9A" w14:textId="77777777" w:rsidR="00597EA9" w:rsidRPr="00597EA9" w:rsidRDefault="00597EA9" w:rsidP="00597EA9">
            <w:pPr>
              <w:spacing w:after="200"/>
              <w:jc w:val="left"/>
              <w:rPr>
                <w:rFonts w:cs="Arial"/>
                <w:lang w:val="en-GB" w:eastAsia="en-GB" w:bidi="en-GB"/>
              </w:rPr>
            </w:pPr>
            <w:r w:rsidRPr="00597EA9">
              <w:rPr>
                <w:lang w:val="en-GB" w:eastAsia="en-GB" w:bidi="en-GB"/>
              </w:rPr>
              <w:t>External malice</w:t>
            </w:r>
          </w:p>
        </w:tc>
        <w:tc>
          <w:tcPr>
            <w:tcW w:w="3827" w:type="dxa"/>
            <w:vAlign w:val="center"/>
          </w:tcPr>
          <w:p w14:paraId="6CCD3A32" w14:textId="77777777" w:rsidR="00597EA9" w:rsidRPr="00597EA9" w:rsidRDefault="00597EA9" w:rsidP="00597EA9">
            <w:pPr>
              <w:spacing w:after="200"/>
              <w:jc w:val="left"/>
              <w:rPr>
                <w:rFonts w:cs="Arial"/>
                <w:lang w:val="en-GB" w:eastAsia="en-GB" w:bidi="en-GB"/>
              </w:rPr>
            </w:pPr>
          </w:p>
        </w:tc>
      </w:tr>
      <w:tr w:rsidR="00597EA9" w:rsidRPr="002B173E" w14:paraId="5470EB32" w14:textId="77777777" w:rsidTr="006115D0">
        <w:trPr>
          <w:trHeight w:val="480"/>
        </w:trPr>
        <w:tc>
          <w:tcPr>
            <w:tcW w:w="5387" w:type="dxa"/>
            <w:vAlign w:val="center"/>
          </w:tcPr>
          <w:p w14:paraId="2EDA0101" w14:textId="77777777" w:rsidR="00597EA9" w:rsidRPr="00597EA9" w:rsidRDefault="00597EA9" w:rsidP="00597EA9">
            <w:pPr>
              <w:spacing w:after="200"/>
              <w:jc w:val="left"/>
              <w:rPr>
                <w:rFonts w:cs="Arial"/>
                <w:lang w:val="en-GB" w:eastAsia="en-GB" w:bidi="en-GB"/>
              </w:rPr>
            </w:pPr>
            <w:r w:rsidRPr="00597EA9">
              <w:rPr>
                <w:lang w:val="en-GB" w:eastAsia="en-GB" w:bidi="en-GB"/>
              </w:rPr>
              <w:t>Nature of the breach (loss of availability, integrity or confidentiality)</w:t>
            </w:r>
          </w:p>
        </w:tc>
        <w:tc>
          <w:tcPr>
            <w:tcW w:w="3827" w:type="dxa"/>
            <w:vAlign w:val="center"/>
          </w:tcPr>
          <w:p w14:paraId="7C654765" w14:textId="77777777" w:rsidR="00597EA9" w:rsidRPr="00597EA9" w:rsidRDefault="00597EA9" w:rsidP="00597EA9">
            <w:pPr>
              <w:spacing w:after="200"/>
              <w:jc w:val="left"/>
              <w:rPr>
                <w:rFonts w:cs="Arial"/>
                <w:lang w:val="en-GB" w:eastAsia="en-GB" w:bidi="en-GB"/>
              </w:rPr>
            </w:pPr>
          </w:p>
        </w:tc>
      </w:tr>
      <w:tr w:rsidR="00597EA9" w:rsidRPr="002B173E" w14:paraId="7D86EBA9" w14:textId="77777777" w:rsidTr="006115D0">
        <w:trPr>
          <w:trHeight w:val="480"/>
        </w:trPr>
        <w:tc>
          <w:tcPr>
            <w:tcW w:w="5387" w:type="dxa"/>
            <w:vAlign w:val="center"/>
          </w:tcPr>
          <w:p w14:paraId="0AFBC099" w14:textId="77777777" w:rsidR="00597EA9" w:rsidRPr="00597EA9" w:rsidRDefault="00597EA9" w:rsidP="00597EA9">
            <w:pPr>
              <w:spacing w:after="200"/>
              <w:jc w:val="left"/>
              <w:rPr>
                <w:rFonts w:cs="Arial"/>
                <w:lang w:val="en-GB" w:eastAsia="en-GB" w:bidi="en-GB"/>
              </w:rPr>
            </w:pPr>
            <w:r w:rsidRPr="00597EA9">
              <w:rPr>
                <w:lang w:val="en-GB" w:eastAsia="en-GB" w:bidi="en-GB"/>
              </w:rPr>
              <w:t>Date and time of the breach</w:t>
            </w:r>
          </w:p>
        </w:tc>
        <w:tc>
          <w:tcPr>
            <w:tcW w:w="3827" w:type="dxa"/>
            <w:vAlign w:val="center"/>
          </w:tcPr>
          <w:p w14:paraId="7718627A" w14:textId="77777777" w:rsidR="00597EA9" w:rsidRPr="00597EA9" w:rsidRDefault="00597EA9" w:rsidP="00597EA9">
            <w:pPr>
              <w:spacing w:after="200"/>
              <w:jc w:val="left"/>
              <w:rPr>
                <w:rFonts w:cs="Arial"/>
                <w:lang w:val="en-GB" w:eastAsia="en-GB" w:bidi="en-GB"/>
              </w:rPr>
            </w:pPr>
          </w:p>
        </w:tc>
      </w:tr>
      <w:tr w:rsidR="00597EA9" w:rsidRPr="00597EA9" w14:paraId="27E1DAB8" w14:textId="77777777" w:rsidTr="006115D0">
        <w:trPr>
          <w:trHeight w:val="480"/>
        </w:trPr>
        <w:tc>
          <w:tcPr>
            <w:tcW w:w="5387" w:type="dxa"/>
            <w:vAlign w:val="center"/>
          </w:tcPr>
          <w:p w14:paraId="3C0BB0A6" w14:textId="77777777" w:rsidR="00597EA9" w:rsidRPr="00597EA9" w:rsidRDefault="00597EA9" w:rsidP="00597EA9">
            <w:pPr>
              <w:spacing w:after="200"/>
              <w:jc w:val="left"/>
              <w:rPr>
                <w:rFonts w:cs="Arial"/>
                <w:lang w:val="en-GB" w:eastAsia="en-GB" w:bidi="en-GB"/>
              </w:rPr>
            </w:pPr>
            <w:r w:rsidRPr="00597EA9">
              <w:rPr>
                <w:lang w:val="en-GB" w:eastAsia="en-GB" w:bidi="en-GB"/>
              </w:rPr>
              <w:t>Use of a processor</w:t>
            </w:r>
          </w:p>
        </w:tc>
        <w:tc>
          <w:tcPr>
            <w:tcW w:w="3827" w:type="dxa"/>
            <w:vAlign w:val="center"/>
          </w:tcPr>
          <w:p w14:paraId="2784ACB1" w14:textId="77777777" w:rsidR="00597EA9" w:rsidRPr="00597EA9" w:rsidRDefault="00597EA9" w:rsidP="00597EA9">
            <w:pPr>
              <w:spacing w:after="200"/>
              <w:jc w:val="left"/>
              <w:rPr>
                <w:rFonts w:cs="Arial"/>
                <w:lang w:val="en-GB" w:eastAsia="en-GB" w:bidi="en-GB"/>
              </w:rPr>
            </w:pPr>
          </w:p>
        </w:tc>
      </w:tr>
    </w:tbl>
    <w:p w14:paraId="1E908536" w14:textId="77777777" w:rsidR="00597EA9" w:rsidRPr="00597EA9" w:rsidRDefault="00597EA9" w:rsidP="00597EA9">
      <w:pPr>
        <w:spacing w:before="120" w:after="0" w:line="240" w:lineRule="auto"/>
        <w:ind w:left="357"/>
        <w:rPr>
          <w:lang w:val="en-GB" w:eastAsia="en-GB" w:bidi="en-GB"/>
        </w:rPr>
      </w:pPr>
    </w:p>
    <w:p w14:paraId="29531D38" w14:textId="77777777" w:rsidR="00597EA9" w:rsidRPr="00597EA9" w:rsidRDefault="00597EA9" w:rsidP="00597EA9">
      <w:pPr>
        <w:spacing w:after="200"/>
        <w:jc w:val="left"/>
        <w:rPr>
          <w:rFonts w:cs="Arial"/>
          <w:b/>
          <w:u w:val="single"/>
          <w:lang w:val="en-GB" w:eastAsia="en-GB" w:bidi="en-GB"/>
        </w:rPr>
      </w:pPr>
      <w:r w:rsidRPr="00597EA9">
        <w:rPr>
          <w:b/>
          <w:u w:val="single"/>
          <w:lang w:val="en-GB" w:eastAsia="en-GB" w:bidi="en-GB"/>
        </w:rPr>
        <w:t>Crisis management priority actions</w:t>
      </w: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87"/>
        <w:gridCol w:w="3260"/>
      </w:tblGrid>
      <w:tr w:rsidR="00597EA9" w:rsidRPr="00597EA9" w14:paraId="0C003B1D" w14:textId="77777777" w:rsidTr="006115D0">
        <w:tc>
          <w:tcPr>
            <w:tcW w:w="5387" w:type="dxa"/>
            <w:shd w:val="pct25" w:color="000000" w:fill="FFFFFF"/>
            <w:vAlign w:val="center"/>
          </w:tcPr>
          <w:p w14:paraId="7494B473" w14:textId="77777777" w:rsidR="00597EA9" w:rsidRPr="00597EA9" w:rsidRDefault="00597EA9" w:rsidP="00597EA9">
            <w:pPr>
              <w:spacing w:after="200"/>
              <w:jc w:val="center"/>
              <w:rPr>
                <w:rFonts w:cs="Arial"/>
                <w:b/>
                <w:sz w:val="24"/>
                <w:lang w:val="en-GB" w:eastAsia="en-GB" w:bidi="en-GB"/>
              </w:rPr>
            </w:pPr>
          </w:p>
        </w:tc>
        <w:tc>
          <w:tcPr>
            <w:tcW w:w="3260" w:type="dxa"/>
            <w:shd w:val="pct25" w:color="000000" w:fill="FFFFFF"/>
          </w:tcPr>
          <w:p w14:paraId="07DB8815" w14:textId="77777777" w:rsidR="00597EA9" w:rsidRPr="00597EA9" w:rsidRDefault="00597EA9" w:rsidP="00597EA9">
            <w:pPr>
              <w:tabs>
                <w:tab w:val="center" w:pos="4536"/>
                <w:tab w:val="right" w:pos="9072"/>
              </w:tabs>
              <w:spacing w:after="0" w:line="240" w:lineRule="auto"/>
              <w:jc w:val="center"/>
              <w:rPr>
                <w:rFonts w:cs="Arial"/>
                <w:b/>
                <w:sz w:val="24"/>
                <w:lang w:val="en-GB" w:eastAsia="en-GB" w:bidi="en-GB"/>
              </w:rPr>
            </w:pPr>
          </w:p>
        </w:tc>
      </w:tr>
      <w:tr w:rsidR="00597EA9" w:rsidRPr="00597EA9" w14:paraId="2A7388FC" w14:textId="77777777" w:rsidTr="006115D0">
        <w:trPr>
          <w:trHeight w:val="480"/>
        </w:trPr>
        <w:tc>
          <w:tcPr>
            <w:tcW w:w="5387" w:type="dxa"/>
            <w:vAlign w:val="center"/>
          </w:tcPr>
          <w:p w14:paraId="7FE884D3" w14:textId="77777777" w:rsidR="00597EA9" w:rsidRPr="00597EA9" w:rsidRDefault="00597EA9" w:rsidP="00597EA9">
            <w:pPr>
              <w:spacing w:after="200"/>
              <w:jc w:val="left"/>
              <w:rPr>
                <w:rFonts w:cs="Arial"/>
                <w:lang w:val="en-GB" w:eastAsia="en-GB" w:bidi="en-GB"/>
              </w:rPr>
            </w:pPr>
            <w:r w:rsidRPr="00597EA9">
              <w:rPr>
                <w:lang w:val="en-GB" w:eastAsia="en-GB" w:bidi="en-GB"/>
              </w:rPr>
              <w:t>Convening the crisis unit</w:t>
            </w:r>
          </w:p>
        </w:tc>
        <w:tc>
          <w:tcPr>
            <w:tcW w:w="3260" w:type="dxa"/>
            <w:vAlign w:val="center"/>
          </w:tcPr>
          <w:p w14:paraId="163C82D3" w14:textId="77777777" w:rsidR="00597EA9" w:rsidRPr="00597EA9" w:rsidRDefault="00597EA9" w:rsidP="00597EA9">
            <w:pPr>
              <w:tabs>
                <w:tab w:val="center" w:pos="4536"/>
                <w:tab w:val="right" w:pos="9072"/>
              </w:tabs>
              <w:spacing w:after="0" w:line="240" w:lineRule="auto"/>
              <w:jc w:val="left"/>
              <w:rPr>
                <w:rFonts w:cs="Arial"/>
                <w:lang w:val="en-GB" w:eastAsia="en-GB" w:bidi="en-GB"/>
              </w:rPr>
            </w:pPr>
          </w:p>
        </w:tc>
      </w:tr>
      <w:tr w:rsidR="00597EA9" w:rsidRPr="002B173E" w14:paraId="709697BA" w14:textId="77777777" w:rsidTr="006115D0">
        <w:trPr>
          <w:trHeight w:val="480"/>
        </w:trPr>
        <w:tc>
          <w:tcPr>
            <w:tcW w:w="5387" w:type="dxa"/>
            <w:vAlign w:val="center"/>
          </w:tcPr>
          <w:p w14:paraId="2D5AE518" w14:textId="77777777" w:rsidR="00597EA9" w:rsidRPr="00597EA9" w:rsidRDefault="00597EA9" w:rsidP="00597EA9">
            <w:pPr>
              <w:spacing w:after="200"/>
              <w:jc w:val="left"/>
              <w:rPr>
                <w:rFonts w:cs="Arial"/>
                <w:lang w:val="en-GB" w:eastAsia="en-GB" w:bidi="en-GB"/>
              </w:rPr>
            </w:pPr>
            <w:r w:rsidRPr="00597EA9">
              <w:rPr>
                <w:lang w:val="en-GB" w:eastAsia="en-GB" w:bidi="en-GB"/>
              </w:rPr>
              <w:t>Analysis of the causes and consequences of the incident</w:t>
            </w:r>
          </w:p>
        </w:tc>
        <w:tc>
          <w:tcPr>
            <w:tcW w:w="3260" w:type="dxa"/>
            <w:vAlign w:val="center"/>
          </w:tcPr>
          <w:p w14:paraId="13139061" w14:textId="77777777" w:rsidR="00597EA9" w:rsidRPr="00597EA9" w:rsidRDefault="00597EA9" w:rsidP="00597EA9">
            <w:pPr>
              <w:tabs>
                <w:tab w:val="center" w:pos="4536"/>
                <w:tab w:val="right" w:pos="9072"/>
              </w:tabs>
              <w:spacing w:after="0" w:line="240" w:lineRule="auto"/>
              <w:jc w:val="left"/>
              <w:rPr>
                <w:rFonts w:cs="Arial"/>
                <w:lang w:val="en-GB" w:eastAsia="en-GB" w:bidi="en-GB"/>
              </w:rPr>
            </w:pPr>
          </w:p>
        </w:tc>
      </w:tr>
      <w:tr w:rsidR="00597EA9" w:rsidRPr="002B173E" w14:paraId="74DCE63B" w14:textId="77777777" w:rsidTr="006115D0">
        <w:trPr>
          <w:trHeight w:val="480"/>
        </w:trPr>
        <w:tc>
          <w:tcPr>
            <w:tcW w:w="5387" w:type="dxa"/>
            <w:vAlign w:val="center"/>
          </w:tcPr>
          <w:p w14:paraId="5C47A724" w14:textId="77777777" w:rsidR="00597EA9" w:rsidRPr="00597EA9" w:rsidRDefault="00597EA9" w:rsidP="00597EA9">
            <w:pPr>
              <w:spacing w:after="200"/>
              <w:jc w:val="left"/>
              <w:rPr>
                <w:rFonts w:cs="Arial"/>
                <w:lang w:val="en-GB" w:eastAsia="en-GB" w:bidi="en-GB"/>
              </w:rPr>
            </w:pPr>
            <w:r w:rsidRPr="00597EA9">
              <w:rPr>
                <w:lang w:val="en-GB" w:eastAsia="en-GB" w:bidi="en-GB"/>
              </w:rPr>
              <w:t xml:space="preserve">Reconstruction and remedial plan </w:t>
            </w:r>
          </w:p>
          <w:p w14:paraId="43E3F18F" w14:textId="77777777" w:rsidR="00597EA9" w:rsidRPr="00597EA9" w:rsidRDefault="00597EA9" w:rsidP="00597EA9">
            <w:pPr>
              <w:spacing w:after="200"/>
              <w:jc w:val="left"/>
              <w:rPr>
                <w:rFonts w:cs="Arial"/>
                <w:lang w:val="en-GB" w:eastAsia="en-GB" w:bidi="en-GB"/>
              </w:rPr>
            </w:pPr>
            <w:r w:rsidRPr="00597EA9">
              <w:rPr>
                <w:lang w:val="en-GB" w:eastAsia="en-GB" w:bidi="en-GB"/>
              </w:rPr>
              <w:t>Determining immediate technical measures</w:t>
            </w:r>
          </w:p>
        </w:tc>
        <w:tc>
          <w:tcPr>
            <w:tcW w:w="3260" w:type="dxa"/>
            <w:vAlign w:val="center"/>
          </w:tcPr>
          <w:p w14:paraId="1AB6E0DB" w14:textId="77777777" w:rsidR="00597EA9" w:rsidRPr="00597EA9" w:rsidRDefault="00597EA9" w:rsidP="00597EA9">
            <w:pPr>
              <w:tabs>
                <w:tab w:val="center" w:pos="4536"/>
                <w:tab w:val="right" w:pos="9072"/>
              </w:tabs>
              <w:spacing w:after="0" w:line="240" w:lineRule="auto"/>
              <w:jc w:val="left"/>
              <w:rPr>
                <w:rFonts w:cs="Arial"/>
                <w:lang w:val="en-GB" w:eastAsia="en-GB" w:bidi="en-GB"/>
              </w:rPr>
            </w:pPr>
          </w:p>
        </w:tc>
      </w:tr>
      <w:tr w:rsidR="00597EA9" w:rsidRPr="002B173E" w14:paraId="18A27FC4" w14:textId="77777777" w:rsidTr="006115D0">
        <w:trPr>
          <w:trHeight w:val="480"/>
        </w:trPr>
        <w:tc>
          <w:tcPr>
            <w:tcW w:w="5387" w:type="dxa"/>
            <w:vAlign w:val="center"/>
          </w:tcPr>
          <w:p w14:paraId="597959DF" w14:textId="77777777" w:rsidR="00597EA9" w:rsidRPr="00597EA9" w:rsidRDefault="00597EA9" w:rsidP="00597EA9">
            <w:pPr>
              <w:spacing w:after="200"/>
              <w:jc w:val="left"/>
              <w:rPr>
                <w:rFonts w:cs="Arial"/>
                <w:lang w:val="en-GB" w:eastAsia="en-GB" w:bidi="en-GB"/>
              </w:rPr>
            </w:pPr>
            <w:r w:rsidRPr="00597EA9">
              <w:rPr>
                <w:lang w:val="en-GB" w:eastAsia="en-GB" w:bidi="en-GB"/>
              </w:rPr>
              <w:t>Gathering and preservation of evidence in case of an attack or malicious activity</w:t>
            </w:r>
          </w:p>
        </w:tc>
        <w:tc>
          <w:tcPr>
            <w:tcW w:w="3260" w:type="dxa"/>
            <w:vAlign w:val="center"/>
          </w:tcPr>
          <w:p w14:paraId="1F79A458" w14:textId="77777777" w:rsidR="00597EA9" w:rsidRPr="00597EA9" w:rsidRDefault="00597EA9" w:rsidP="00597EA9">
            <w:pPr>
              <w:spacing w:after="200"/>
              <w:jc w:val="left"/>
              <w:rPr>
                <w:rFonts w:cs="Arial"/>
                <w:lang w:val="en-GB" w:eastAsia="en-GB" w:bidi="en-GB"/>
              </w:rPr>
            </w:pPr>
          </w:p>
        </w:tc>
      </w:tr>
      <w:tr w:rsidR="00597EA9" w:rsidRPr="002B173E" w14:paraId="77B76755" w14:textId="77777777" w:rsidTr="006115D0">
        <w:trPr>
          <w:trHeight w:val="480"/>
        </w:trPr>
        <w:tc>
          <w:tcPr>
            <w:tcW w:w="5387" w:type="dxa"/>
            <w:vAlign w:val="center"/>
          </w:tcPr>
          <w:p w14:paraId="2D0C33BB" w14:textId="77777777" w:rsidR="00597EA9" w:rsidRPr="00597EA9" w:rsidRDefault="00597EA9" w:rsidP="00597EA9">
            <w:pPr>
              <w:spacing w:after="200"/>
              <w:jc w:val="left"/>
              <w:rPr>
                <w:rFonts w:cs="Arial"/>
                <w:lang w:val="en-GB" w:eastAsia="en-GB" w:bidi="en-GB"/>
              </w:rPr>
            </w:pPr>
            <w:r w:rsidRPr="00597EA9">
              <w:rPr>
                <w:lang w:val="en-GB" w:eastAsia="en-GB" w:bidi="en-GB"/>
              </w:rPr>
              <w:t>Notification of CNIL within 72 hours maximum</w:t>
            </w:r>
          </w:p>
        </w:tc>
        <w:tc>
          <w:tcPr>
            <w:tcW w:w="3260" w:type="dxa"/>
            <w:vAlign w:val="center"/>
          </w:tcPr>
          <w:p w14:paraId="4829693F" w14:textId="77777777" w:rsidR="00597EA9" w:rsidRPr="00597EA9" w:rsidRDefault="00597EA9" w:rsidP="00597EA9">
            <w:pPr>
              <w:spacing w:after="200"/>
              <w:jc w:val="left"/>
              <w:rPr>
                <w:rFonts w:cs="Arial"/>
                <w:lang w:val="en-GB" w:eastAsia="en-GB" w:bidi="en-GB"/>
              </w:rPr>
            </w:pPr>
          </w:p>
        </w:tc>
      </w:tr>
      <w:tr w:rsidR="00597EA9" w:rsidRPr="002B173E" w14:paraId="58FC6343" w14:textId="77777777" w:rsidTr="006115D0">
        <w:trPr>
          <w:trHeight w:val="480"/>
        </w:trPr>
        <w:tc>
          <w:tcPr>
            <w:tcW w:w="5387" w:type="dxa"/>
            <w:vAlign w:val="center"/>
          </w:tcPr>
          <w:p w14:paraId="520412BA" w14:textId="77777777" w:rsidR="00597EA9" w:rsidRPr="00597EA9" w:rsidRDefault="00597EA9" w:rsidP="00597EA9">
            <w:pPr>
              <w:spacing w:after="200"/>
              <w:jc w:val="left"/>
              <w:rPr>
                <w:rFonts w:cs="Arial"/>
                <w:lang w:val="en-GB" w:eastAsia="en-GB" w:bidi="en-GB"/>
              </w:rPr>
            </w:pPr>
            <w:r w:rsidRPr="00597EA9">
              <w:rPr>
                <w:lang w:val="en-GB" w:eastAsia="en-GB" w:bidi="en-GB"/>
              </w:rPr>
              <w:t>Notification of the data subjects concerned</w:t>
            </w:r>
          </w:p>
        </w:tc>
        <w:tc>
          <w:tcPr>
            <w:tcW w:w="3260" w:type="dxa"/>
            <w:vAlign w:val="center"/>
          </w:tcPr>
          <w:p w14:paraId="014F4450" w14:textId="77777777" w:rsidR="00597EA9" w:rsidRPr="00597EA9" w:rsidRDefault="00597EA9" w:rsidP="00597EA9">
            <w:pPr>
              <w:spacing w:after="200"/>
              <w:jc w:val="left"/>
              <w:rPr>
                <w:rFonts w:cs="Arial"/>
                <w:lang w:val="en-GB" w:eastAsia="en-GB" w:bidi="en-GB"/>
              </w:rPr>
            </w:pPr>
          </w:p>
        </w:tc>
      </w:tr>
      <w:tr w:rsidR="00597EA9" w:rsidRPr="00597EA9" w14:paraId="610B7B0F" w14:textId="77777777" w:rsidTr="006115D0">
        <w:trPr>
          <w:trHeight w:val="480"/>
        </w:trPr>
        <w:tc>
          <w:tcPr>
            <w:tcW w:w="5387" w:type="dxa"/>
            <w:vAlign w:val="center"/>
          </w:tcPr>
          <w:p w14:paraId="6578F601" w14:textId="77777777" w:rsidR="00597EA9" w:rsidRPr="00597EA9" w:rsidRDefault="00597EA9" w:rsidP="00597EA9">
            <w:pPr>
              <w:spacing w:after="200"/>
              <w:jc w:val="left"/>
              <w:rPr>
                <w:rFonts w:cs="Arial"/>
                <w:lang w:val="en-GB" w:eastAsia="en-GB" w:bidi="en-GB"/>
              </w:rPr>
            </w:pPr>
            <w:r w:rsidRPr="00597EA9">
              <w:rPr>
                <w:lang w:val="en-GB" w:eastAsia="en-GB" w:bidi="en-GB"/>
              </w:rPr>
              <w:t>Notification of insurance</w:t>
            </w:r>
          </w:p>
        </w:tc>
        <w:tc>
          <w:tcPr>
            <w:tcW w:w="3260" w:type="dxa"/>
            <w:vAlign w:val="center"/>
          </w:tcPr>
          <w:p w14:paraId="6C82628C" w14:textId="77777777" w:rsidR="00597EA9" w:rsidRPr="00597EA9" w:rsidRDefault="00597EA9" w:rsidP="00597EA9">
            <w:pPr>
              <w:spacing w:after="200"/>
              <w:jc w:val="left"/>
              <w:rPr>
                <w:rFonts w:cs="Arial"/>
                <w:lang w:val="en-GB" w:eastAsia="en-GB" w:bidi="en-GB"/>
              </w:rPr>
            </w:pPr>
          </w:p>
        </w:tc>
      </w:tr>
      <w:tr w:rsidR="00597EA9" w:rsidRPr="00597EA9" w14:paraId="6B9AEE8D" w14:textId="77777777" w:rsidTr="006115D0">
        <w:trPr>
          <w:trHeight w:val="480"/>
        </w:trPr>
        <w:tc>
          <w:tcPr>
            <w:tcW w:w="5387" w:type="dxa"/>
            <w:vAlign w:val="center"/>
          </w:tcPr>
          <w:p w14:paraId="107CE55D" w14:textId="77777777" w:rsidR="00597EA9" w:rsidRPr="00597EA9" w:rsidRDefault="00597EA9" w:rsidP="00597EA9">
            <w:pPr>
              <w:spacing w:after="200"/>
              <w:jc w:val="left"/>
              <w:rPr>
                <w:rFonts w:cs="Arial"/>
                <w:lang w:val="en-GB" w:eastAsia="en-GB" w:bidi="en-GB"/>
              </w:rPr>
            </w:pPr>
            <w:r w:rsidRPr="00597EA9">
              <w:rPr>
                <w:lang w:val="en-GB" w:eastAsia="en-GB" w:bidi="en-GB"/>
              </w:rPr>
              <w:t>Complaint mechanisms</w:t>
            </w:r>
          </w:p>
        </w:tc>
        <w:tc>
          <w:tcPr>
            <w:tcW w:w="3260" w:type="dxa"/>
            <w:vAlign w:val="center"/>
          </w:tcPr>
          <w:p w14:paraId="2277DE61" w14:textId="77777777" w:rsidR="00597EA9" w:rsidRPr="00597EA9" w:rsidRDefault="00597EA9" w:rsidP="00597EA9">
            <w:pPr>
              <w:spacing w:after="200"/>
              <w:jc w:val="left"/>
              <w:rPr>
                <w:rFonts w:cs="Arial"/>
                <w:lang w:val="en-GB" w:eastAsia="en-GB" w:bidi="en-GB"/>
              </w:rPr>
            </w:pPr>
          </w:p>
        </w:tc>
      </w:tr>
    </w:tbl>
    <w:p w14:paraId="31BE83B8" w14:textId="77777777" w:rsidR="00597EA9" w:rsidRDefault="00597EA9" w:rsidP="00597EA9">
      <w:pPr>
        <w:spacing w:after="200"/>
        <w:jc w:val="left"/>
        <w:rPr>
          <w:rFonts w:cs="Arial"/>
          <w:lang w:val="en-GB" w:eastAsia="en-GB" w:bidi="en-GB"/>
        </w:rPr>
      </w:pPr>
    </w:p>
    <w:p w14:paraId="711CC79A" w14:textId="77777777" w:rsidR="00597EA9" w:rsidRPr="00597EA9" w:rsidRDefault="00597EA9" w:rsidP="00597EA9">
      <w:pPr>
        <w:spacing w:after="200"/>
        <w:jc w:val="left"/>
        <w:rPr>
          <w:rFonts w:cs="Arial"/>
          <w:lang w:val="en-GB" w:eastAsia="en-GB" w:bidi="en-GB"/>
        </w:rPr>
      </w:pPr>
    </w:p>
    <w:p w14:paraId="74D00448" w14:textId="77777777" w:rsidR="00597EA9" w:rsidRPr="00597EA9" w:rsidRDefault="00597EA9" w:rsidP="00597EA9">
      <w:pPr>
        <w:numPr>
          <w:ilvl w:val="0"/>
          <w:numId w:val="22"/>
        </w:numPr>
        <w:spacing w:before="120" w:after="0" w:line="240" w:lineRule="auto"/>
        <w:ind w:left="357" w:hanging="357"/>
        <w:jc w:val="left"/>
        <w:rPr>
          <w:rFonts w:cs="Arial"/>
          <w:lang w:val="en-GB" w:eastAsia="en-GB" w:bidi="en-GB"/>
        </w:rPr>
      </w:pPr>
      <w:r w:rsidRPr="00597EA9">
        <w:rPr>
          <w:lang w:val="en-GB" w:eastAsia="en-GB" w:bidi="en-GB"/>
        </w:rPr>
        <w:lastRenderedPageBreak/>
        <w:t>If the breach is confirmed, the DPO will inform the CNIL and the data subjects concerned.</w:t>
      </w:r>
    </w:p>
    <w:p w14:paraId="6B412136" w14:textId="77777777" w:rsidR="00597EA9" w:rsidRPr="00597EA9" w:rsidRDefault="00597EA9" w:rsidP="00597EA9">
      <w:pPr>
        <w:autoSpaceDE w:val="0"/>
        <w:autoSpaceDN w:val="0"/>
        <w:adjustRightInd w:val="0"/>
        <w:spacing w:after="0" w:line="240" w:lineRule="auto"/>
        <w:rPr>
          <w:rFonts w:cs="Arial"/>
          <w:lang w:val="en-GB" w:eastAsia="en-GB" w:bidi="en-GB"/>
        </w:rPr>
      </w:pPr>
      <w:r w:rsidRPr="00597EA9">
        <w:rPr>
          <w:rFonts w:cs="Arial"/>
          <w:szCs w:val="24"/>
          <w:lang w:val="en-GB" w:eastAsia="en-GB" w:bidi="en-GB"/>
        </w:rPr>
        <w:t xml:space="preserve">The MANE Group's DPO shall take all the necessary measures to notify the breach in question to the supervisory authority (CNIL) not later than 72 hours after having become aware of it, unless the breach is unlikely to result in a risk to the rights and freedoms of the natural persons concerned. </w:t>
      </w:r>
    </w:p>
    <w:p w14:paraId="3CA3F38D" w14:textId="77777777" w:rsidR="00597EA9" w:rsidRPr="00597EA9" w:rsidRDefault="00597EA9" w:rsidP="00597EA9">
      <w:pPr>
        <w:autoSpaceDE w:val="0"/>
        <w:autoSpaceDN w:val="0"/>
        <w:adjustRightInd w:val="0"/>
        <w:spacing w:after="0" w:line="240" w:lineRule="auto"/>
        <w:rPr>
          <w:rFonts w:cs="Arial"/>
          <w:lang w:val="en-GB" w:eastAsia="en-GB" w:bidi="en-GB"/>
        </w:rPr>
      </w:pPr>
    </w:p>
    <w:p w14:paraId="78C34774" w14:textId="77777777" w:rsidR="00597EA9" w:rsidRPr="00597EA9" w:rsidRDefault="00597EA9" w:rsidP="00597EA9">
      <w:pPr>
        <w:autoSpaceDE w:val="0"/>
        <w:autoSpaceDN w:val="0"/>
        <w:adjustRightInd w:val="0"/>
        <w:spacing w:after="0" w:line="240" w:lineRule="auto"/>
        <w:rPr>
          <w:rFonts w:cs="Arial"/>
          <w:lang w:val="en-GB" w:eastAsia="en-GB" w:bidi="en-GB"/>
        </w:rPr>
      </w:pPr>
      <w:r w:rsidRPr="00597EA9">
        <w:rPr>
          <w:rFonts w:cs="Arial"/>
          <w:szCs w:val="24"/>
          <w:lang w:val="en-GB" w:eastAsia="en-GB" w:bidi="en-GB"/>
        </w:rPr>
        <w:t>The CNIL has supervisory powers and the convictions handed down by it may be published on its website and given regular media coverage.</w:t>
      </w:r>
    </w:p>
    <w:p w14:paraId="7699282B" w14:textId="77777777" w:rsidR="00597EA9" w:rsidRPr="00597EA9" w:rsidRDefault="00597EA9" w:rsidP="00597EA9">
      <w:pPr>
        <w:autoSpaceDE w:val="0"/>
        <w:autoSpaceDN w:val="0"/>
        <w:adjustRightInd w:val="0"/>
        <w:spacing w:after="0" w:line="240" w:lineRule="auto"/>
        <w:rPr>
          <w:rFonts w:cs="Arial"/>
          <w:lang w:val="en-GB" w:eastAsia="en-GB" w:bidi="en-GB"/>
        </w:rPr>
      </w:pPr>
    </w:p>
    <w:p w14:paraId="0225EBC0" w14:textId="6CA703B6" w:rsidR="00597EA9" w:rsidRPr="00597EA9" w:rsidRDefault="00597EA9" w:rsidP="00597EA9">
      <w:pPr>
        <w:autoSpaceDE w:val="0"/>
        <w:autoSpaceDN w:val="0"/>
        <w:adjustRightInd w:val="0"/>
        <w:spacing w:after="0" w:line="240" w:lineRule="auto"/>
        <w:jc w:val="left"/>
        <w:rPr>
          <w:rFonts w:cs="Arial"/>
          <w:lang w:val="en-GB" w:eastAsia="en-GB" w:bidi="en-GB"/>
        </w:rPr>
      </w:pPr>
      <w:r w:rsidRPr="00597EA9">
        <w:rPr>
          <w:lang w:val="en-GB" w:eastAsia="en-GB" w:bidi="en-GB"/>
        </w:rPr>
        <w:t>The DPO will maintain and update the register of breaches.</w:t>
      </w:r>
    </w:p>
    <w:p w14:paraId="7BD04898" w14:textId="77777777" w:rsidR="00597EA9" w:rsidRPr="00597EA9" w:rsidRDefault="00597EA9" w:rsidP="00597EA9">
      <w:pPr>
        <w:autoSpaceDE w:val="0"/>
        <w:autoSpaceDN w:val="0"/>
        <w:adjustRightInd w:val="0"/>
        <w:spacing w:after="0" w:line="240" w:lineRule="auto"/>
        <w:ind w:left="360"/>
        <w:rPr>
          <w:lang w:val="en-GB" w:eastAsia="en-GB" w:bidi="en-GB"/>
        </w:rPr>
      </w:pPr>
    </w:p>
    <w:sectPr w:rsidR="00597EA9" w:rsidRPr="00597EA9" w:rsidSect="00B00FF4">
      <w:headerReference w:type="default" r:id="rId13"/>
      <w:pgSz w:w="11906" w:h="16838"/>
      <w:pgMar w:top="2644" w:right="567" w:bottom="567" w:left="567" w:header="57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A0196" w14:textId="77777777" w:rsidR="00101C31" w:rsidRDefault="00101C31" w:rsidP="005E6374">
      <w:pPr>
        <w:spacing w:after="0" w:line="240" w:lineRule="auto"/>
      </w:pPr>
      <w:r>
        <w:separator/>
      </w:r>
    </w:p>
  </w:endnote>
  <w:endnote w:type="continuationSeparator" w:id="0">
    <w:p w14:paraId="31D3455D" w14:textId="77777777" w:rsidR="00101C31" w:rsidRDefault="00101C31" w:rsidP="005E6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BFA3A" w14:textId="77777777" w:rsidR="00101C31" w:rsidRDefault="00101C31" w:rsidP="005E6374">
      <w:pPr>
        <w:spacing w:after="0" w:line="240" w:lineRule="auto"/>
      </w:pPr>
      <w:r>
        <w:separator/>
      </w:r>
    </w:p>
  </w:footnote>
  <w:footnote w:type="continuationSeparator" w:id="0">
    <w:p w14:paraId="52AF2121" w14:textId="77777777" w:rsidR="00101C31" w:rsidRDefault="00101C31" w:rsidP="005E6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89" w:type="dxa"/>
      <w:tblInd w:w="80" w:type="dxa"/>
      <w:tblLook w:val="04A0" w:firstRow="1" w:lastRow="0" w:firstColumn="1" w:lastColumn="0" w:noHBand="0" w:noVBand="1"/>
    </w:tblPr>
    <w:tblGrid>
      <w:gridCol w:w="2522"/>
      <w:gridCol w:w="1119"/>
      <w:gridCol w:w="3637"/>
      <w:gridCol w:w="3711"/>
    </w:tblGrid>
    <w:tr w:rsidR="0008595F" w:rsidRPr="002B173E" w14:paraId="00BBCC4A" w14:textId="77777777" w:rsidTr="00085416">
      <w:tc>
        <w:tcPr>
          <w:tcW w:w="2522" w:type="dxa"/>
          <w:tcBorders>
            <w:top w:val="nil"/>
            <w:left w:val="nil"/>
            <w:bottom w:val="nil"/>
            <w:right w:val="nil"/>
          </w:tcBorders>
        </w:tcPr>
        <w:p w14:paraId="1940A148" w14:textId="30B2C5CB" w:rsidR="0008595F" w:rsidRDefault="0008595F" w:rsidP="00026291">
          <w:pPr>
            <w:pStyle w:val="Header"/>
          </w:pPr>
          <w:r>
            <w:rPr>
              <w:noProof/>
              <w:lang w:eastAsia="fr-FR"/>
            </w:rPr>
            <w:drawing>
              <wp:anchor distT="0" distB="0" distL="114300" distR="114300" simplePos="0" relativeHeight="251665408" behindDoc="1" locked="0" layoutInCell="1" allowOverlap="1" wp14:anchorId="48B45777" wp14:editId="50D852E5">
                <wp:simplePos x="0" y="0"/>
                <wp:positionH relativeFrom="page">
                  <wp:align>left</wp:align>
                </wp:positionH>
                <wp:positionV relativeFrom="page">
                  <wp:align>top</wp:align>
                </wp:positionV>
                <wp:extent cx="1240404" cy="1240404"/>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fax"/>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36857" cy="1236857"/>
                        </a:xfrm>
                        <a:prstGeom prst="rect">
                          <a:avLst/>
                        </a:prstGeom>
                        <a:noFill/>
                      </pic:spPr>
                    </pic:pic>
                  </a:graphicData>
                </a:graphic>
                <wp14:sizeRelH relativeFrom="margin">
                  <wp14:pctWidth>0</wp14:pctWidth>
                </wp14:sizeRelH>
                <wp14:sizeRelV relativeFrom="margin">
                  <wp14:pctHeight>0</wp14:pctHeight>
                </wp14:sizeRelV>
              </wp:anchor>
            </w:drawing>
          </w:r>
        </w:p>
      </w:tc>
      <w:tc>
        <w:tcPr>
          <w:tcW w:w="8467" w:type="dxa"/>
          <w:gridSpan w:val="3"/>
          <w:tcBorders>
            <w:top w:val="nil"/>
            <w:left w:val="nil"/>
            <w:bottom w:val="nil"/>
            <w:right w:val="nil"/>
          </w:tcBorders>
        </w:tcPr>
        <w:p w14:paraId="6F0A7F1F" w14:textId="3B72D120" w:rsidR="0008595F" w:rsidRPr="00597EA9" w:rsidRDefault="00597EA9" w:rsidP="00E24951">
          <w:pPr>
            <w:pStyle w:val="Title"/>
            <w:rPr>
              <w:lang w:val="en-US"/>
            </w:rPr>
          </w:pPr>
          <w:r w:rsidRPr="00D659F6">
            <w:rPr>
              <w:sz w:val="32"/>
              <w:lang w:val="en-US"/>
            </w:rPr>
            <w:t>PROCEDURE FOR REPORTING A PERSONAL DATA SECURITY BREACH</w:t>
          </w:r>
        </w:p>
      </w:tc>
    </w:tr>
    <w:tr w:rsidR="00365076" w14:paraId="14062D4A" w14:textId="77777777" w:rsidTr="002877CF">
      <w:tc>
        <w:tcPr>
          <w:tcW w:w="3641" w:type="dxa"/>
          <w:gridSpan w:val="2"/>
          <w:tcBorders>
            <w:top w:val="nil"/>
            <w:left w:val="nil"/>
            <w:bottom w:val="nil"/>
            <w:right w:val="nil"/>
          </w:tcBorders>
        </w:tcPr>
        <w:p w14:paraId="3F98E875" w14:textId="0A27580F" w:rsidR="00365076" w:rsidRPr="00597EA9" w:rsidRDefault="00365076" w:rsidP="00026291">
          <w:pPr>
            <w:pStyle w:val="Header"/>
            <w:rPr>
              <w:noProof/>
              <w:lang w:val="en-US" w:eastAsia="fr-FR"/>
            </w:rPr>
          </w:pPr>
        </w:p>
      </w:tc>
      <w:tc>
        <w:tcPr>
          <w:tcW w:w="3637" w:type="dxa"/>
          <w:tcBorders>
            <w:top w:val="single" w:sz="4" w:space="0" w:color="auto"/>
            <w:left w:val="nil"/>
            <w:bottom w:val="nil"/>
            <w:right w:val="nil"/>
          </w:tcBorders>
        </w:tcPr>
        <w:p w14:paraId="681AA579" w14:textId="75A88FF5" w:rsidR="00365076" w:rsidRPr="00597EA9" w:rsidRDefault="00365076" w:rsidP="002877CF">
          <w:pPr>
            <w:pStyle w:val="Header"/>
            <w:jc w:val="right"/>
            <w:rPr>
              <w:lang w:val="en-US"/>
            </w:rPr>
          </w:pPr>
        </w:p>
      </w:tc>
      <w:tc>
        <w:tcPr>
          <w:tcW w:w="3711" w:type="dxa"/>
          <w:tcBorders>
            <w:top w:val="single" w:sz="4" w:space="0" w:color="auto"/>
            <w:left w:val="nil"/>
            <w:bottom w:val="nil"/>
            <w:right w:val="nil"/>
          </w:tcBorders>
        </w:tcPr>
        <w:p w14:paraId="614AF782" w14:textId="713C8C29" w:rsidR="00365076" w:rsidRPr="001C1803" w:rsidRDefault="00597EA9" w:rsidP="00E24951">
          <w:pPr>
            <w:pStyle w:val="Title"/>
            <w:rPr>
              <w:rFonts w:asciiTheme="minorHAnsi" w:hAnsiTheme="minorHAnsi"/>
              <w:color w:val="005C2F"/>
              <w:sz w:val="24"/>
              <w:szCs w:val="24"/>
            </w:rPr>
          </w:pPr>
          <w:r>
            <w:rPr>
              <w:rFonts w:asciiTheme="minorHAnsi" w:hAnsiTheme="minorHAnsi"/>
              <w:color w:val="005C2F"/>
              <w:sz w:val="24"/>
              <w:szCs w:val="24"/>
            </w:rPr>
            <w:t>SP-GPDR-005/01</w:t>
          </w:r>
        </w:p>
      </w:tc>
    </w:tr>
    <w:tr w:rsidR="002877CF" w:rsidRPr="002877CF" w14:paraId="436628D2" w14:textId="77777777" w:rsidTr="002877CF">
      <w:tc>
        <w:tcPr>
          <w:tcW w:w="3641" w:type="dxa"/>
          <w:gridSpan w:val="2"/>
          <w:tcBorders>
            <w:top w:val="nil"/>
            <w:left w:val="nil"/>
            <w:bottom w:val="nil"/>
            <w:right w:val="nil"/>
          </w:tcBorders>
        </w:tcPr>
        <w:p w14:paraId="227700B1" w14:textId="77777777" w:rsidR="002877CF" w:rsidRDefault="002877CF" w:rsidP="00026291">
          <w:pPr>
            <w:pStyle w:val="Header"/>
            <w:rPr>
              <w:noProof/>
              <w:lang w:eastAsia="fr-FR"/>
            </w:rPr>
          </w:pPr>
        </w:p>
      </w:tc>
      <w:tc>
        <w:tcPr>
          <w:tcW w:w="3637" w:type="dxa"/>
          <w:tcBorders>
            <w:top w:val="nil"/>
            <w:left w:val="nil"/>
            <w:bottom w:val="nil"/>
            <w:right w:val="nil"/>
          </w:tcBorders>
        </w:tcPr>
        <w:p w14:paraId="4A6252A7" w14:textId="77777777" w:rsidR="002877CF" w:rsidRDefault="002877CF" w:rsidP="002877CF">
          <w:pPr>
            <w:pStyle w:val="Header"/>
            <w:jc w:val="right"/>
          </w:pPr>
        </w:p>
      </w:tc>
      <w:tc>
        <w:tcPr>
          <w:tcW w:w="3711" w:type="dxa"/>
          <w:tcBorders>
            <w:top w:val="nil"/>
            <w:left w:val="nil"/>
            <w:bottom w:val="nil"/>
            <w:right w:val="nil"/>
          </w:tcBorders>
        </w:tcPr>
        <w:p w14:paraId="3909AE08" w14:textId="2538F1B9" w:rsidR="002877CF" w:rsidRPr="002877CF" w:rsidRDefault="002877CF" w:rsidP="007B41E7">
          <w:pPr>
            <w:pStyle w:val="Title"/>
            <w:rPr>
              <w:b w:val="0"/>
              <w:sz w:val="24"/>
            </w:rPr>
          </w:pPr>
          <w:r w:rsidRPr="002877CF">
            <w:rPr>
              <w:b w:val="0"/>
              <w:sz w:val="24"/>
            </w:rPr>
            <w:t xml:space="preserve">Page </w:t>
          </w:r>
          <w:r w:rsidRPr="002877CF">
            <w:rPr>
              <w:b w:val="0"/>
              <w:sz w:val="24"/>
            </w:rPr>
            <w:fldChar w:fldCharType="begin"/>
          </w:r>
          <w:r w:rsidRPr="002877CF">
            <w:rPr>
              <w:b w:val="0"/>
              <w:sz w:val="24"/>
            </w:rPr>
            <w:instrText>PAGE  \* Arabic  \* MERGEFORMAT</w:instrText>
          </w:r>
          <w:r w:rsidRPr="002877CF">
            <w:rPr>
              <w:b w:val="0"/>
              <w:sz w:val="24"/>
            </w:rPr>
            <w:fldChar w:fldCharType="separate"/>
          </w:r>
          <w:r w:rsidR="00597EA9">
            <w:rPr>
              <w:b w:val="0"/>
              <w:noProof/>
              <w:sz w:val="24"/>
            </w:rPr>
            <w:t>1</w:t>
          </w:r>
          <w:r w:rsidRPr="002877CF">
            <w:rPr>
              <w:b w:val="0"/>
              <w:sz w:val="24"/>
            </w:rPr>
            <w:fldChar w:fldCharType="end"/>
          </w:r>
          <w:r w:rsidRPr="002877CF">
            <w:rPr>
              <w:b w:val="0"/>
              <w:sz w:val="24"/>
            </w:rPr>
            <w:t xml:space="preserve"> </w:t>
          </w:r>
          <w:r w:rsidR="007B41E7">
            <w:rPr>
              <w:b w:val="0"/>
              <w:sz w:val="24"/>
            </w:rPr>
            <w:t>/</w:t>
          </w:r>
          <w:r w:rsidRPr="002877CF">
            <w:rPr>
              <w:b w:val="0"/>
              <w:sz w:val="24"/>
            </w:rPr>
            <w:t xml:space="preserve"> </w:t>
          </w:r>
          <w:r w:rsidRPr="002877CF">
            <w:rPr>
              <w:b w:val="0"/>
              <w:sz w:val="24"/>
            </w:rPr>
            <w:fldChar w:fldCharType="begin"/>
          </w:r>
          <w:r w:rsidRPr="002877CF">
            <w:rPr>
              <w:b w:val="0"/>
              <w:sz w:val="24"/>
            </w:rPr>
            <w:instrText>NUMPAGES  \* Arabic  \* MERGEFORMAT</w:instrText>
          </w:r>
          <w:r w:rsidRPr="002877CF">
            <w:rPr>
              <w:b w:val="0"/>
              <w:sz w:val="24"/>
            </w:rPr>
            <w:fldChar w:fldCharType="separate"/>
          </w:r>
          <w:r w:rsidR="00597EA9">
            <w:rPr>
              <w:b w:val="0"/>
              <w:noProof/>
              <w:sz w:val="24"/>
            </w:rPr>
            <w:t>4</w:t>
          </w:r>
          <w:r w:rsidRPr="002877CF">
            <w:rPr>
              <w:b w:val="0"/>
              <w:sz w:val="24"/>
            </w:rPr>
            <w:fldChar w:fldCharType="end"/>
          </w:r>
          <w:r w:rsidRPr="002877CF">
            <w:rPr>
              <w:b w:val="0"/>
              <w:sz w:val="24"/>
            </w:rPr>
            <w:t xml:space="preserve"> </w:t>
          </w:r>
        </w:p>
      </w:tc>
    </w:tr>
  </w:tbl>
  <w:p w14:paraId="4470FCD5" w14:textId="77777777" w:rsidR="005E6374" w:rsidRDefault="005E6374" w:rsidP="005E6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4BB"/>
    <w:multiLevelType w:val="hybridMultilevel"/>
    <w:tmpl w:val="E8A0F6A6"/>
    <w:lvl w:ilvl="0" w:tplc="0430F036">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044544"/>
    <w:multiLevelType w:val="hybridMultilevel"/>
    <w:tmpl w:val="6ECE5E26"/>
    <w:lvl w:ilvl="0" w:tplc="B6989B40">
      <w:start w:val="1"/>
      <w:numFmt w:val="decimal"/>
      <w:lvlText w:val="%1."/>
      <w:lvlJc w:val="left"/>
      <w:pPr>
        <w:ind w:left="644" w:hanging="360"/>
      </w:pPr>
      <w:rPr>
        <w:rFonts w:hint="default"/>
        <w:b/>
        <w:i w:val="0"/>
        <w:color w:val="00B05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37144B"/>
    <w:multiLevelType w:val="hybridMultilevel"/>
    <w:tmpl w:val="8CCCE720"/>
    <w:lvl w:ilvl="0" w:tplc="0DFAB3D4">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6B04F1"/>
    <w:multiLevelType w:val="hybridMultilevel"/>
    <w:tmpl w:val="66821C58"/>
    <w:lvl w:ilvl="0" w:tplc="F5820990">
      <w:numFmt w:val="bullet"/>
      <w:lvlText w:val="-"/>
      <w:lvlJc w:val="left"/>
      <w:pPr>
        <w:ind w:left="1140" w:hanging="360"/>
      </w:pPr>
      <w:rPr>
        <w:rFonts w:ascii="Calibri" w:eastAsia="Calibri" w:hAnsi="Calibri" w:cs="Calibri"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4" w15:restartNumberingAfterBreak="0">
    <w:nsid w:val="35372B03"/>
    <w:multiLevelType w:val="hybridMultilevel"/>
    <w:tmpl w:val="3064EBEE"/>
    <w:lvl w:ilvl="0" w:tplc="4454AADC">
      <w:start w:val="1"/>
      <w:numFmt w:val="lowerRoman"/>
      <w:pStyle w:val="Heading4"/>
      <w:lvlText w:val="%1."/>
      <w:lvlJc w:val="right"/>
      <w:pPr>
        <w:ind w:left="1211" w:hanging="360"/>
      </w:pPr>
      <w:rPr>
        <w:rFonts w:hint="default"/>
        <w:b/>
        <w:i/>
        <w:color w:val="595959" w:themeColor="text1" w:themeTint="A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EE1E10"/>
    <w:multiLevelType w:val="hybridMultilevel"/>
    <w:tmpl w:val="380A2202"/>
    <w:lvl w:ilvl="0" w:tplc="091A971A">
      <w:start w:val="1"/>
      <w:numFmt w:val="upperRoman"/>
      <w:lvlText w:val="%1."/>
      <w:lvlJc w:val="right"/>
      <w:pPr>
        <w:ind w:left="360" w:hanging="360"/>
      </w:pPr>
      <w:rPr>
        <w:rFonts w:hint="default"/>
        <w:b/>
        <w:i w:val="0"/>
        <w:color w:val="FF99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CD0180"/>
    <w:multiLevelType w:val="hybridMultilevel"/>
    <w:tmpl w:val="70B40692"/>
    <w:lvl w:ilvl="0" w:tplc="46F82308">
      <w:start w:val="1"/>
      <w:numFmt w:val="lowerLetter"/>
      <w:lvlText w:val="%1."/>
      <w:lvlJc w:val="left"/>
      <w:pPr>
        <w:ind w:left="927" w:hanging="360"/>
      </w:pPr>
      <w:rPr>
        <w:rFonts w:hint="default"/>
        <w:b/>
        <w:i w:val="0"/>
        <w:color w:val="000000" w:themeColor="text1"/>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DFC63B7"/>
    <w:multiLevelType w:val="hybridMultilevel"/>
    <w:tmpl w:val="839A2F2C"/>
    <w:lvl w:ilvl="0" w:tplc="1A8EFCC6">
      <w:start w:val="1"/>
      <w:numFmt w:val="lowerLetter"/>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5C429BC"/>
    <w:multiLevelType w:val="singleLevel"/>
    <w:tmpl w:val="6D7EEFF4"/>
    <w:lvl w:ilvl="0">
      <w:start w:val="2"/>
      <w:numFmt w:val="bullet"/>
      <w:lvlText w:val=""/>
      <w:lvlJc w:val="left"/>
      <w:pPr>
        <w:tabs>
          <w:tab w:val="num" w:pos="360"/>
        </w:tabs>
        <w:ind w:left="360" w:hanging="360"/>
      </w:pPr>
      <w:rPr>
        <w:rFonts w:ascii="Wingdings" w:hAnsi="Wingdings" w:hint="default"/>
      </w:rPr>
    </w:lvl>
  </w:abstractNum>
  <w:num w:numId="1">
    <w:abstractNumId w:val="5"/>
  </w:num>
  <w:num w:numId="2">
    <w:abstractNumId w:val="1"/>
  </w:num>
  <w:num w:numId="3">
    <w:abstractNumId w:val="1"/>
    <w:lvlOverride w:ilvl="0">
      <w:startOverride w:val="1"/>
    </w:lvlOverride>
  </w:num>
  <w:num w:numId="4">
    <w:abstractNumId w:val="6"/>
  </w:num>
  <w:num w:numId="5">
    <w:abstractNumId w:val="6"/>
    <w:lvlOverride w:ilvl="0">
      <w:startOverride w:val="1"/>
    </w:lvlOverride>
  </w:num>
  <w:num w:numId="6">
    <w:abstractNumId w:val="4"/>
  </w:num>
  <w:num w:numId="7">
    <w:abstractNumId w:val="4"/>
    <w:lvlOverride w:ilvl="0">
      <w:startOverride w:val="1"/>
    </w:lvlOverride>
  </w:num>
  <w:num w:numId="8">
    <w:abstractNumId w:val="4"/>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4"/>
    <w:lvlOverride w:ilvl="0">
      <w:startOverride w:val="1"/>
    </w:lvlOverride>
  </w:num>
  <w:num w:numId="16">
    <w:abstractNumId w:val="6"/>
    <w:lvlOverride w:ilvl="0">
      <w:startOverride w:val="1"/>
    </w:lvlOverride>
  </w:num>
  <w:num w:numId="17">
    <w:abstractNumId w:val="0"/>
  </w:num>
  <w:num w:numId="18">
    <w:abstractNumId w:val="2"/>
  </w:num>
  <w:num w:numId="19">
    <w:abstractNumId w:val="7"/>
  </w:num>
  <w:num w:numId="20">
    <w:abstractNumId w:val="2"/>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2DE"/>
    <w:rsid w:val="00002F14"/>
    <w:rsid w:val="00004A97"/>
    <w:rsid w:val="000162EF"/>
    <w:rsid w:val="00085416"/>
    <w:rsid w:val="0008595F"/>
    <w:rsid w:val="000940D8"/>
    <w:rsid w:val="00101C31"/>
    <w:rsid w:val="00114CFC"/>
    <w:rsid w:val="001372EB"/>
    <w:rsid w:val="001B3399"/>
    <w:rsid w:val="001C1803"/>
    <w:rsid w:val="001C51B7"/>
    <w:rsid w:val="001D3264"/>
    <w:rsid w:val="00267F4B"/>
    <w:rsid w:val="002877CF"/>
    <w:rsid w:val="002958B9"/>
    <w:rsid w:val="002B173E"/>
    <w:rsid w:val="002C4019"/>
    <w:rsid w:val="00365076"/>
    <w:rsid w:val="003A5F34"/>
    <w:rsid w:val="00443D62"/>
    <w:rsid w:val="0045115A"/>
    <w:rsid w:val="00457873"/>
    <w:rsid w:val="00473C4B"/>
    <w:rsid w:val="004A7F02"/>
    <w:rsid w:val="004D72AB"/>
    <w:rsid w:val="00500C18"/>
    <w:rsid w:val="005113DB"/>
    <w:rsid w:val="00511CBF"/>
    <w:rsid w:val="00542A95"/>
    <w:rsid w:val="00545DD6"/>
    <w:rsid w:val="00564A8E"/>
    <w:rsid w:val="005665B1"/>
    <w:rsid w:val="00597EA9"/>
    <w:rsid w:val="005B74D8"/>
    <w:rsid w:val="005C2190"/>
    <w:rsid w:val="005E6374"/>
    <w:rsid w:val="00625AC5"/>
    <w:rsid w:val="0067487A"/>
    <w:rsid w:val="006A1363"/>
    <w:rsid w:val="006A4DDF"/>
    <w:rsid w:val="006F2AE8"/>
    <w:rsid w:val="006F4099"/>
    <w:rsid w:val="006F6B3B"/>
    <w:rsid w:val="00700870"/>
    <w:rsid w:val="00706412"/>
    <w:rsid w:val="007952DE"/>
    <w:rsid w:val="007B41E7"/>
    <w:rsid w:val="007B514A"/>
    <w:rsid w:val="007F21F0"/>
    <w:rsid w:val="00833C9B"/>
    <w:rsid w:val="008423D6"/>
    <w:rsid w:val="0085558E"/>
    <w:rsid w:val="0087596C"/>
    <w:rsid w:val="008B0514"/>
    <w:rsid w:val="009421BC"/>
    <w:rsid w:val="00947F79"/>
    <w:rsid w:val="009E0F74"/>
    <w:rsid w:val="009E5335"/>
    <w:rsid w:val="00AC360E"/>
    <w:rsid w:val="00AE66FF"/>
    <w:rsid w:val="00B00FF4"/>
    <w:rsid w:val="00B052BA"/>
    <w:rsid w:val="00B07A77"/>
    <w:rsid w:val="00BB0089"/>
    <w:rsid w:val="00BE55E6"/>
    <w:rsid w:val="00C045BE"/>
    <w:rsid w:val="00C16ED1"/>
    <w:rsid w:val="00C35AB5"/>
    <w:rsid w:val="00C768F5"/>
    <w:rsid w:val="00C77014"/>
    <w:rsid w:val="00CB741A"/>
    <w:rsid w:val="00D10B94"/>
    <w:rsid w:val="00D4405B"/>
    <w:rsid w:val="00D945A1"/>
    <w:rsid w:val="00DA3006"/>
    <w:rsid w:val="00DE180C"/>
    <w:rsid w:val="00DF5D93"/>
    <w:rsid w:val="00E24951"/>
    <w:rsid w:val="00E30374"/>
    <w:rsid w:val="00E425E1"/>
    <w:rsid w:val="00EB2DA0"/>
    <w:rsid w:val="00F47476"/>
    <w:rsid w:val="00F72FA1"/>
    <w:rsid w:val="00FA4442"/>
    <w:rsid w:val="00FC44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BF0053"/>
  <w15:docId w15:val="{122361CA-3C76-44A4-9843-38024D77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014"/>
    <w:pPr>
      <w:spacing w:after="120"/>
      <w:jc w:val="both"/>
    </w:pPr>
  </w:style>
  <w:style w:type="paragraph" w:styleId="Heading1">
    <w:name w:val="heading 1"/>
    <w:basedOn w:val="Normal"/>
    <w:next w:val="Normal"/>
    <w:link w:val="Heading1Char"/>
    <w:uiPriority w:val="9"/>
    <w:qFormat/>
    <w:rsid w:val="00365076"/>
    <w:pPr>
      <w:keepNext/>
      <w:keepLines/>
      <w:numPr>
        <w:numId w:val="17"/>
      </w:numPr>
      <w:spacing w:before="240"/>
      <w:outlineLvl w:val="0"/>
    </w:pPr>
    <w:rPr>
      <w:rFonts w:ascii="Calibri" w:eastAsiaTheme="majorEastAsia" w:hAnsi="Calibri" w:cstheme="majorBidi"/>
      <w:b/>
      <w:bCs/>
      <w:color w:val="005C2F"/>
      <w:sz w:val="32"/>
      <w:szCs w:val="28"/>
    </w:rPr>
  </w:style>
  <w:style w:type="paragraph" w:styleId="Heading2">
    <w:name w:val="heading 2"/>
    <w:basedOn w:val="Normal"/>
    <w:next w:val="Normal"/>
    <w:link w:val="Heading2Char"/>
    <w:uiPriority w:val="9"/>
    <w:unhideWhenUsed/>
    <w:qFormat/>
    <w:rsid w:val="00365076"/>
    <w:pPr>
      <w:keepNext/>
      <w:keepLines/>
      <w:numPr>
        <w:numId w:val="18"/>
      </w:numPr>
      <w:spacing w:before="240"/>
      <w:outlineLvl w:val="1"/>
    </w:pPr>
    <w:rPr>
      <w:rFonts w:ascii="Calibri" w:eastAsiaTheme="majorEastAsia" w:hAnsi="Calibri" w:cstheme="majorBidi"/>
      <w:b/>
      <w:bCs/>
      <w:color w:val="104C58"/>
      <w:sz w:val="28"/>
      <w:szCs w:val="26"/>
    </w:rPr>
  </w:style>
  <w:style w:type="paragraph" w:styleId="Heading3">
    <w:name w:val="heading 3"/>
    <w:basedOn w:val="Normal"/>
    <w:next w:val="Normal"/>
    <w:link w:val="Heading3Char"/>
    <w:uiPriority w:val="9"/>
    <w:unhideWhenUsed/>
    <w:qFormat/>
    <w:rsid w:val="00365076"/>
    <w:pPr>
      <w:keepNext/>
      <w:keepLines/>
      <w:numPr>
        <w:numId w:val="19"/>
      </w:numPr>
      <w:spacing w:before="120"/>
      <w:outlineLvl w:val="2"/>
    </w:pPr>
    <w:rPr>
      <w:rFonts w:eastAsiaTheme="majorEastAsia" w:cstheme="majorBidi"/>
      <w:b/>
      <w:bCs/>
      <w:color w:val="1A918F"/>
      <w:sz w:val="24"/>
    </w:rPr>
  </w:style>
  <w:style w:type="paragraph" w:styleId="Heading4">
    <w:name w:val="heading 4"/>
    <w:basedOn w:val="Normal"/>
    <w:next w:val="Normal"/>
    <w:link w:val="Heading4Char"/>
    <w:uiPriority w:val="9"/>
    <w:unhideWhenUsed/>
    <w:qFormat/>
    <w:rsid w:val="00FC44D7"/>
    <w:pPr>
      <w:keepNext/>
      <w:keepLines/>
      <w:numPr>
        <w:numId w:val="6"/>
      </w:numPr>
      <w:spacing w:before="120"/>
      <w:outlineLvl w:val="3"/>
    </w:pPr>
    <w:rPr>
      <w:rFonts w:eastAsiaTheme="majorEastAsia" w:cstheme="majorBidi"/>
      <w:b/>
      <w:bCs/>
      <w:i/>
      <w:iCs/>
      <w:color w:val="595959" w:themeColor="text1" w:themeTint="A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3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6374"/>
  </w:style>
  <w:style w:type="paragraph" w:styleId="Footer">
    <w:name w:val="footer"/>
    <w:basedOn w:val="Normal"/>
    <w:link w:val="FooterChar"/>
    <w:unhideWhenUsed/>
    <w:rsid w:val="005E63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6374"/>
  </w:style>
  <w:style w:type="character" w:styleId="PageNumber">
    <w:name w:val="page number"/>
    <w:basedOn w:val="DefaultParagraphFont"/>
    <w:rsid w:val="005E6374"/>
  </w:style>
  <w:style w:type="paragraph" w:styleId="BalloonText">
    <w:name w:val="Balloon Text"/>
    <w:basedOn w:val="Normal"/>
    <w:link w:val="BalloonTextChar"/>
    <w:uiPriority w:val="99"/>
    <w:semiHidden/>
    <w:unhideWhenUsed/>
    <w:rsid w:val="005E6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74"/>
    <w:rPr>
      <w:rFonts w:ascii="Tahoma" w:hAnsi="Tahoma" w:cs="Tahoma"/>
      <w:sz w:val="16"/>
      <w:szCs w:val="16"/>
    </w:rPr>
  </w:style>
  <w:style w:type="paragraph" w:styleId="Title">
    <w:name w:val="Title"/>
    <w:basedOn w:val="Normal"/>
    <w:next w:val="Normal"/>
    <w:link w:val="TitleChar"/>
    <w:uiPriority w:val="10"/>
    <w:qFormat/>
    <w:rsid w:val="00365076"/>
    <w:pPr>
      <w:spacing w:before="60" w:after="0" w:line="240" w:lineRule="auto"/>
      <w:jc w:val="right"/>
    </w:pPr>
    <w:rPr>
      <w:rFonts w:ascii="Calibri" w:eastAsia="Arial Unicode MS" w:hAnsi="Calibri" w:cs="Arial"/>
      <w:b/>
      <w:sz w:val="44"/>
    </w:rPr>
  </w:style>
  <w:style w:type="character" w:customStyle="1" w:styleId="TitleChar">
    <w:name w:val="Title Char"/>
    <w:basedOn w:val="DefaultParagraphFont"/>
    <w:link w:val="Title"/>
    <w:uiPriority w:val="10"/>
    <w:rsid w:val="00365076"/>
    <w:rPr>
      <w:rFonts w:ascii="Calibri" w:eastAsia="Arial Unicode MS" w:hAnsi="Calibri" w:cs="Arial"/>
      <w:b/>
      <w:sz w:val="44"/>
    </w:rPr>
  </w:style>
  <w:style w:type="paragraph" w:styleId="NoSpacing">
    <w:name w:val="No Spacing"/>
    <w:uiPriority w:val="1"/>
    <w:qFormat/>
    <w:rsid w:val="00C77014"/>
    <w:pPr>
      <w:spacing w:after="0" w:line="240" w:lineRule="auto"/>
    </w:pPr>
  </w:style>
  <w:style w:type="character" w:customStyle="1" w:styleId="Heading1Char">
    <w:name w:val="Heading 1 Char"/>
    <w:basedOn w:val="DefaultParagraphFont"/>
    <w:link w:val="Heading1"/>
    <w:uiPriority w:val="9"/>
    <w:rsid w:val="00365076"/>
    <w:rPr>
      <w:rFonts w:ascii="Calibri" w:eastAsiaTheme="majorEastAsia" w:hAnsi="Calibri" w:cstheme="majorBidi"/>
      <w:b/>
      <w:bCs/>
      <w:color w:val="005C2F"/>
      <w:sz w:val="32"/>
      <w:szCs w:val="28"/>
    </w:rPr>
  </w:style>
  <w:style w:type="character" w:customStyle="1" w:styleId="Heading2Char">
    <w:name w:val="Heading 2 Char"/>
    <w:basedOn w:val="DefaultParagraphFont"/>
    <w:link w:val="Heading2"/>
    <w:uiPriority w:val="9"/>
    <w:rsid w:val="00365076"/>
    <w:rPr>
      <w:rFonts w:ascii="Calibri" w:eastAsiaTheme="majorEastAsia" w:hAnsi="Calibri" w:cstheme="majorBidi"/>
      <w:b/>
      <w:bCs/>
      <w:color w:val="104C58"/>
      <w:sz w:val="28"/>
      <w:szCs w:val="26"/>
    </w:rPr>
  </w:style>
  <w:style w:type="character" w:customStyle="1" w:styleId="Heading3Char">
    <w:name w:val="Heading 3 Char"/>
    <w:basedOn w:val="DefaultParagraphFont"/>
    <w:link w:val="Heading3"/>
    <w:uiPriority w:val="9"/>
    <w:rsid w:val="00365076"/>
    <w:rPr>
      <w:rFonts w:eastAsiaTheme="majorEastAsia" w:cstheme="majorBidi"/>
      <w:b/>
      <w:bCs/>
      <w:color w:val="1A918F"/>
      <w:sz w:val="24"/>
    </w:rPr>
  </w:style>
  <w:style w:type="character" w:customStyle="1" w:styleId="Heading4Char">
    <w:name w:val="Heading 4 Char"/>
    <w:basedOn w:val="DefaultParagraphFont"/>
    <w:link w:val="Heading4"/>
    <w:uiPriority w:val="9"/>
    <w:rsid w:val="00FC44D7"/>
    <w:rPr>
      <w:rFonts w:eastAsiaTheme="majorEastAsia" w:cstheme="majorBidi"/>
      <w:b/>
      <w:bCs/>
      <w:i/>
      <w:iCs/>
      <w:color w:val="595959" w:themeColor="text1" w:themeTint="A6"/>
      <w:sz w:val="24"/>
    </w:rPr>
  </w:style>
  <w:style w:type="paragraph" w:styleId="TOCHeading">
    <w:name w:val="TOC Heading"/>
    <w:basedOn w:val="Heading1"/>
    <w:next w:val="Normal"/>
    <w:uiPriority w:val="39"/>
    <w:semiHidden/>
    <w:unhideWhenUsed/>
    <w:qFormat/>
    <w:rsid w:val="001C51B7"/>
    <w:pPr>
      <w:numPr>
        <w:numId w:val="0"/>
      </w:numPr>
      <w:spacing w:before="480" w:after="0"/>
      <w:jc w:val="left"/>
      <w:outlineLvl w:val="9"/>
    </w:pPr>
    <w:rPr>
      <w:rFonts w:asciiTheme="majorHAnsi" w:hAnsiTheme="majorHAnsi"/>
      <w:color w:val="365F91" w:themeColor="accent1" w:themeShade="BF"/>
      <w:sz w:val="28"/>
      <w:lang w:eastAsia="fr-FR"/>
    </w:rPr>
  </w:style>
  <w:style w:type="paragraph" w:styleId="TOC1">
    <w:name w:val="toc 1"/>
    <w:basedOn w:val="Normal"/>
    <w:next w:val="Normal"/>
    <w:autoRedefine/>
    <w:uiPriority w:val="39"/>
    <w:unhideWhenUsed/>
    <w:rsid w:val="001C51B7"/>
    <w:pPr>
      <w:spacing w:after="100"/>
    </w:pPr>
  </w:style>
  <w:style w:type="paragraph" w:styleId="TOC2">
    <w:name w:val="toc 2"/>
    <w:basedOn w:val="Normal"/>
    <w:next w:val="Normal"/>
    <w:autoRedefine/>
    <w:uiPriority w:val="39"/>
    <w:unhideWhenUsed/>
    <w:rsid w:val="001C51B7"/>
    <w:pPr>
      <w:spacing w:after="100"/>
      <w:ind w:left="220"/>
    </w:pPr>
  </w:style>
  <w:style w:type="paragraph" w:styleId="TOC3">
    <w:name w:val="toc 3"/>
    <w:basedOn w:val="Normal"/>
    <w:next w:val="Normal"/>
    <w:autoRedefine/>
    <w:uiPriority w:val="39"/>
    <w:unhideWhenUsed/>
    <w:rsid w:val="001C51B7"/>
    <w:pPr>
      <w:spacing w:after="100"/>
      <w:ind w:left="440"/>
    </w:pPr>
  </w:style>
  <w:style w:type="character" w:styleId="Hyperlink">
    <w:name w:val="Hyperlink"/>
    <w:basedOn w:val="DefaultParagraphFont"/>
    <w:uiPriority w:val="99"/>
    <w:unhideWhenUsed/>
    <w:rsid w:val="001C51B7"/>
    <w:rPr>
      <w:color w:val="0000FF" w:themeColor="hyperlink"/>
      <w:u w:val="single"/>
    </w:rPr>
  </w:style>
  <w:style w:type="character" w:styleId="PlaceholderText">
    <w:name w:val="Placeholder Text"/>
    <w:basedOn w:val="DefaultParagraphFont"/>
    <w:uiPriority w:val="99"/>
    <w:semiHidden/>
    <w:rsid w:val="00B07A77"/>
    <w:rPr>
      <w:color w:val="808080"/>
    </w:rPr>
  </w:style>
  <w:style w:type="table" w:styleId="TableGrid">
    <w:name w:val="Table Grid"/>
    <w:basedOn w:val="TableNormal"/>
    <w:uiPriority w:val="59"/>
    <w:rsid w:val="00365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po@man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mane.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63111686490E4C874B692AA95CE3C3" ma:contentTypeVersion="2" ma:contentTypeDescription="Create a new document." ma:contentTypeScope="" ma:versionID="bdaae53267511e0c466f7d83b4bbcfbe">
  <xsd:schema xmlns:xsd="http://www.w3.org/2001/XMLSchema" xmlns:xs="http://www.w3.org/2001/XMLSchema" xmlns:p="http://schemas.microsoft.com/office/2006/metadata/properties" xmlns:ns2="d5b1dcd8-a9b2-4d1f-99f4-2f0f35dea287" targetNamespace="http://schemas.microsoft.com/office/2006/metadata/properties" ma:root="true" ma:fieldsID="bc5f63dd07dcf4471cefe0cc4d81da14" ns2:_="">
    <xsd:import namespace="d5b1dcd8-a9b2-4d1f-99f4-2f0f35dea28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1dcd8-a9b2-4d1f-99f4-2f0f35dea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7090A1-2898-42E1-8903-9533125745E4}"/>
</file>

<file path=customXml/itemProps2.xml><?xml version="1.0" encoding="utf-8"?>
<ds:datastoreItem xmlns:ds="http://schemas.openxmlformats.org/officeDocument/2006/customXml" ds:itemID="{27E0D450-7BE2-4714-805D-58A517F08BB3}"/>
</file>

<file path=customXml/itemProps3.xml><?xml version="1.0" encoding="utf-8"?>
<ds:datastoreItem xmlns:ds="http://schemas.openxmlformats.org/officeDocument/2006/customXml" ds:itemID="{B0C13EFA-E6DC-46A8-8E41-357F4FA48C8D}"/>
</file>

<file path=customXml/itemProps4.xml><?xml version="1.0" encoding="utf-8"?>
<ds:datastoreItem xmlns:ds="http://schemas.openxmlformats.org/officeDocument/2006/customXml" ds:itemID="{73702230-6EE6-4C7B-91C1-303A9A78FEBF}"/>
</file>

<file path=docProps/app.xml><?xml version="1.0" encoding="utf-8"?>
<Properties xmlns="http://schemas.openxmlformats.org/officeDocument/2006/extended-properties" xmlns:vt="http://schemas.openxmlformats.org/officeDocument/2006/docPropsVTypes">
  <Template>Normal</Template>
  <TotalTime>0</TotalTime>
  <Pages>4</Pages>
  <Words>589</Words>
  <Characters>3242</Characters>
  <Application>Microsoft Office Word</Application>
  <DocSecurity>4</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tttt</vt:lpstr>
      <vt:lpstr>Titre de la procédure</vt:lpstr>
    </vt:vector>
  </TitlesOfParts>
  <Company>V. Mane &amp; Fils</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tttt</dc:title>
  <dc:creator>ROULETTE</dc:creator>
  <cp:lastModifiedBy>ROYO-RENAUDIN Julie</cp:lastModifiedBy>
  <cp:revision>2</cp:revision>
  <cp:lastPrinted>2019-02-12T12:20:00Z</cp:lastPrinted>
  <dcterms:created xsi:type="dcterms:W3CDTF">2020-03-12T08:54:00Z</dcterms:created>
  <dcterms:modified xsi:type="dcterms:W3CDTF">2020-03-12T08:54:00Z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0x010100FC63111686490E4C874B692AA95CE3C3</vt:lpwstr>
  </property>
</Properties>
</file>