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 S02 — CUDA Thread-Block Configuration: Which Launch Shape Is Robust Across Workload Sizes?</w:t>
      </w:r>
    </w:p>
    <w:p>
      <w:pPr>
        <w:pStyle w:val="Subtitle"/>
      </w:pPr>
      <w:r>
        <w:t xml:space="preserve">Individual technical note · Ajinkya Phatak · Reg. No. 23BCE0643</w:t>
      </w:r>
    </w:p>
    <w:p>
      <w:pPr>
        <w:pStyle w:val="Heading2"/>
      </w:pPr>
      <w:bookmarkStart w:id="9" w:name="_197ebcd02bcd136e8ed02eb1ad5da990281f586"/>
      <w:r>
        <w:t xml:space="preserve">1. Problem, research question and related work</w:t>
      </w:r>
      <w:bookmarkEnd w:id="9"/>
    </w:p>
    <w:p>
      <w:pPr>
        <w:pStyle w:val="FirstParagraph"/>
      </w:pPr>
      <w:r>
        <w:t xml:space="preserve">Block size is usually chosen by habit (256 threads, 16×16). We ask</w:t>
      </w:r>
      <w:r>
        <w:t xml:space="preserve"> </w:t>
      </w:r>
      <w:r>
        <w:rPr>
          <w:b/>
          <w:bCs/>
        </w:rPr>
        <w:t xml:space="preserve">which configuration is robust across workload sizes</w:t>
      </w:r>
      <w:r>
        <w:t xml:space="preserve">, i.e. keeps a high</w:t>
      </w:r>
      <w:r>
        <w:t xml:space="preserve"> </w:t>
      </w:r>
      <w:r>
        <w:rPr>
          <w:i/>
          <w:iCs/>
        </w:rPr>
        <w:t xml:space="preserve">worst-case</w:t>
      </w:r>
      <w:r>
        <w:t xml:space="preserve"> </w:t>
      </w:r>
      <w:r>
        <w:t xml:space="preserve">fraction of the per-size optimum. Roofline [1] and Hong and Kim’s MLP/TLP model [2] treat occupancy as a means of hiding latency, not a goal, and Volkov [3] showed that faster libraries often use</w:t>
      </w:r>
      <w:r>
        <w:t xml:space="preserve"> </w:t>
      </w:r>
      <w:r>
        <w:rPr>
          <w:i/>
          <w:iCs/>
        </w:rPr>
        <w:t xml:space="preserve">smaller</w:t>
      </w:r>
      <w:r>
        <w:t xml:space="preserve"> </w:t>
      </w:r>
      <w:r>
        <w:t xml:space="preserve">blocks at</w:t>
      </w:r>
      <w:r>
        <w:t xml:space="preserve"> </w:t>
      </w:r>
      <w:r>
        <w:rPr>
          <w:i/>
          <w:iCs/>
        </w:rPr>
        <w:t xml:space="preserve">lower</w:t>
      </w:r>
      <w:r>
        <w:t xml:space="preserve"> </w:t>
      </w:r>
      <w:r>
        <w:t xml:space="preserve">occupancy. Turing’s hierarchy was characterised in [4]; hierarchical (L1/L2/DRAM) rooflines [5] frame our cache analysis. Recent work treats launch parameters as one dimension of an interrelated space needing auto-tuning [6], benchmarks the search algorithms [7, 9] and adds clock/energy objectives [8]; a tuned optimum is only useful if it transfers, which is what robustness measures.</w:t>
      </w:r>
    </w:p>
    <w:p>
      <w:pPr>
        <w:pStyle w:val="Heading2"/>
      </w:pPr>
      <w:bookmarkStart w:id="10" w:name="_0155240605a26e1ff39c0049efe946d1b7fa54c"/>
      <w:r>
        <w:t xml:space="preserve">2. Setup, protocol and metrics</w:t>
      </w:r>
      <w:bookmarkEnd w:id="10"/>
    </w:p>
    <w:p>
      <w:pPr>
        <w:pStyle w:val="FirstParagraph"/>
      </w:pPr>
      <w:r>
        <w:rPr>
          <w:b/>
          <w:bCs/>
        </w:rPr>
        <w:t xml:space="preserve">Platform.</w:t>
      </w:r>
      <w:r>
        <w:t xml:space="preserve"> </w:t>
      </w:r>
      <w:r>
        <w:t xml:space="preserve">RTX 2060 laptop GPU (Turing CC 7.5, 30 SMs, ≤1024 threads and ≤16 blocks per SM, 64 K registers/SM, 3 MB L2;</w:t>
      </w:r>
      <w:r>
        <w:t xml:space="preserve"> </w:t>
      </w:r>
      <w:r>
        <w:rPr>
          <w:rStyle w:val="VerbatimChar"/>
        </w:rPr>
        <w:t xml:space="preserve">results/raw/device_info.json</w:t>
      </w:r>
      <w:r>
        <w:t xml:space="preserve">). Peak DRAM bandwidth is 264 GB/s (queried 5501 MHz × 192-bit); peak FP32 is 5.93 TFLOP/s at the median loaded SM clock of 1545 MHz (</w:t>
      </w:r>
      <w:r>
        <w:rPr>
          <w:rStyle w:val="VerbatimChar"/>
        </w:rPr>
        <w:t xml:space="preserve">peaks_used.csv</w:t>
      </w:r>
      <w:r>
        <w:t xml:space="preserve">). Host: Ryzen 7 3750H, Windows 11 WDDM driver 581.57, PCIe Gen3 ×8. CUDA 12.9.1, MSVC 19.44, Nsight Compute 2025.2.1;</w:t>
      </w:r>
      <w:r>
        <w:t xml:space="preserve"> </w:t>
      </w:r>
      <w:r>
        <w:rPr>
          <w:rStyle w:val="VerbatimChar"/>
        </w:rPr>
        <w:t xml:space="preserve">-O3 -arch=sm_75 -lineinfo</w:t>
      </w:r>
      <w:r>
        <w:t xml:space="preserve">.</w:t>
      </w:r>
    </w:p>
    <w:p>
      <w:pPr>
        <w:pStyle w:val="BodyText"/>
      </w:pPr>
      <w:r>
        <w:rPr>
          <w:b/>
          <w:bCs/>
        </w:rPr>
        <w:t xml:space="preserve">Workloads (baseline = naive kernels).</w:t>
      </w:r>
      <w:r>
        <w:t xml:space="preserve"> </w:t>
      </w:r>
      <w:r>
        <w:t xml:space="preserve">Vector add (</w:t>
      </w:r>
      <w:r>
        <w:rPr>
          <w:i/>
          <w:iCs/>
        </w:rPr>
        <w:t xml:space="preserve">n</w:t>
      </w:r>
      <w:r>
        <w:t xml:space="preserve"> </w:t>
      </w:r>
      <w:r>
        <w:t xml:space="preserve">= 2^20, 2^24, 2^27); naive SGEMM (</w:t>
      </w:r>
      <w:r>
        <w:rPr>
          <w:i/>
          <w:iCs/>
        </w:rPr>
        <w:t xml:space="preserve">N</w:t>
      </w:r>
      <w:r>
        <w:t xml:space="preserve"> </w:t>
      </w:r>
      <w:r>
        <w:t xml:space="preserve">= 512–4096; a shared-memory tiled version is a secondary comparison only); 2D convolution with 3×3 and 5×5 filters (1024²–4096²). Sweep: 12 1D block sizes (32–1024, plus wasteful 48 and 100) and 24 2D shapes, including equal-thread families (16×16, 32×8, 8×32, 64×4, 4×64, 256×1) and 12×12. threadIdx.x maps to the contiguous dimension. All 288 (kernel, size, configuration) points passed a check against a CPU reference (</w:t>
      </w:r>
      <w:r>
        <w:rPr>
          <w:rStyle w:val="VerbatimChar"/>
        </w:rPr>
        <w:t xml:space="preserve">configs.csv</w:t>
      </w:r>
      <w:r>
        <w:t xml:space="preserve">).</w:t>
      </w:r>
    </w:p>
    <w:p>
      <w:pPr>
        <w:pStyle w:val="BodyText"/>
      </w:pPr>
      <w:r>
        <w:rPr>
          <w:b/>
          <w:bCs/>
        </w:rPr>
        <w:t xml:space="preserve">Protocol.</w:t>
      </w:r>
      <w:r>
        <w:t xml:space="preserve"> </w:t>
      </w:r>
      <w:r>
        <w:t xml:space="preserve">Each configuration got 5 discarded warm-ups, then 50 timed runs (30 for naive matmul) with cudaEvent kernel-only timing.</w:t>
      </w:r>
      <w:r>
        <w:t xml:space="preserve"> </w:t>
      </w:r>
      <w:r>
        <w:rPr>
          <w:b/>
          <w:bCs/>
        </w:rPr>
        <w:t xml:space="preserve">Configuration order was reshuffled every repetition</w:t>
      </w:r>
      <w:r>
        <w:t xml:space="preserve"> </w:t>
      </w:r>
      <w:r>
        <w:t xml:space="preserve">so thermal drift hits all configurations alike. Clocks, temperature and power were logged every 500 ms, giving 12,480 raw rows (</w:t>
      </w:r>
      <w:r>
        <w:rPr>
          <w:rStyle w:val="VerbatimChar"/>
        </w:rPr>
        <w:t xml:space="preserve">kernel_times.csv</w:t>
      </w:r>
      <w:r>
        <w:t xml:space="preserve">). Copies, launch and sync costs were timed separately; Nsight Compute profiled all configurations at two sizes per kernel.</w:t>
      </w:r>
    </w:p>
    <w:p>
      <w:pPr>
        <w:pStyle w:val="BodyText"/>
      </w:pPr>
      <w:r>
        <w:rPr>
          <w:b/>
          <w:bCs/>
        </w:rPr>
        <w:t xml:space="preserve">Metrics.</w:t>
      </w:r>
      <w:r>
        <w:t xml:space="preserve"> </w:t>
      </w:r>
      <w:r>
        <w:t xml:space="preserve">We report median time with a distribution-free 95% CI, CV and IQR. Throughput is GB/s from compulsory bytes (12</w:t>
      </w:r>
      <w:r>
        <w:rPr>
          <w:i/>
          <w:iCs/>
        </w:rPr>
        <w:t xml:space="preserve">n</w:t>
      </w:r>
      <w:r>
        <w:t xml:space="preserve">; conv 8</w:t>
      </w:r>
      <w:r>
        <w:rPr>
          <w:i/>
          <w:iCs/>
        </w:rPr>
        <w:t xml:space="preserve">N</w:t>
      </w:r>
      <w:r>
        <w:t xml:space="preserve">²) or GFLOP/s (2</w:t>
      </w:r>
      <w:r>
        <w:rPr>
          <w:i/>
          <w:iCs/>
        </w:rPr>
        <w:t xml:space="preserve">N</w:t>
      </w:r>
      <w:r>
        <w:t xml:space="preserve">³; conv 2</w:t>
      </w:r>
      <w:r>
        <w:rPr>
          <w:i/>
          <w:iCs/>
        </w:rPr>
        <w:t xml:space="preserve">K</w:t>
      </w:r>
      <w:r>
        <w:t xml:space="preserve">²</w:t>
      </w:r>
      <w:r>
        <w:rPr>
          <w:i/>
          <w:iCs/>
        </w:rPr>
        <w:t xml:space="preserve">N</w:t>
      </w:r>
      <w:r>
        <w:t xml:space="preserve">²).</w:t>
      </w:r>
      <w:r>
        <w:t xml:space="preserve"> </w:t>
      </w:r>
      <w:r>
        <w:rPr>
          <w:i/>
          <w:iCs/>
        </w:rPr>
        <w:t xml:space="preserve">Speedup</w:t>
      </w:r>
      <w:r>
        <w:t xml:space="preserve">: vs a single-thread CPU baseline (kernel-only and end-to-end) and vs the default configuration (256 / 16×16).</w:t>
      </w:r>
      <w:r>
        <w:t xml:space="preserve"> </w:t>
      </w:r>
      <w:r>
        <w:rPr>
          <w:i/>
          <w:iCs/>
        </w:rPr>
        <w:t xml:space="preserve">Efficiency</w:t>
      </w:r>
      <w:r>
        <w:t xml:space="preserve">: % of roofline peak. Classic speedup/#processors is ill-defined here: 30 SMs, 1920 lanes and 960 resident warps, and latency hiding</w:t>
      </w:r>
      <w:r>
        <w:t xml:space="preserve"> </w:t>
      </w:r>
      <w:r>
        <w:rPr>
          <w:i/>
          <w:iCs/>
        </w:rPr>
        <w:t xml:space="preserve">requires</w:t>
      </w:r>
      <w:r>
        <w:t xml:space="preserve"> </w:t>
      </w:r>
      <w:r>
        <w:t xml:space="preserve">oversubscription.</w:t>
      </w:r>
      <w:r>
        <w:t xml:space="preserve"> </w:t>
      </w:r>
      <w:r>
        <w:rPr>
          <w:i/>
          <w:iCs/>
        </w:rPr>
        <w:t xml:space="preserve">Robustness</w:t>
      </w:r>
      <w:r>
        <w:t xml:space="preserve">: worst-case and mean of (best median ÷ own median) across sizes.</w:t>
      </w:r>
    </w:p>
    <w:p>
      <w:pPr>
        <w:pStyle w:val="Heading2"/>
      </w:pPr>
      <w:bookmarkStart w:id="11" w:name="_results"/>
      <w:r>
        <w:t xml:space="preserve">3. Results</w:t>
      </w:r>
      <w:bookmarkEnd w:id="11"/>
    </w:p>
    <w:p>
      <w:pPr>
        <w:pStyle w:val="CaptionedFigure"/>
      </w:pPr>
      <w:r>
        <w:drawing>
          <wp:inline>
            <wp:extent cx="5134102" cy="2438985"/>
            <wp:effectExtent b="0" l="0" r="0" t="0"/>
            <wp:docPr descr="Figure 1. Kernel time vs block configuration (median; error bars: 95% CI of the median; red labels: not a multiple of 32)." title="" id="13" name="Picture"/>
            <a:graphic>
              <a:graphicData uri="http://schemas.openxmlformats.org/drawingml/2006/picture">
                <pic:pic>
                  <pic:nvPicPr>
                    <pic:cNvPr descr="../plots/report/r1_time_vs_block.png" id="14" name="Picture"/>
                    <pic:cNvPicPr>
                      <a:picLocks noChangeArrowheads="1" noChangeAspect="1"/>
                    </pic:cNvPicPr>
                  </pic:nvPicPr>
                  <pic:blipFill>
                    <a:blip r:embed="rId12"/>
                    <a:stretch>
                      <a:fillRect/>
                    </a:stretch>
                  </pic:blipFill>
                  <pic:spPr bwMode="auto">
                    <a:xfrm>
                      <a:off x="0" y="0"/>
                      <a:ext cx="5134102" cy="2438985"/>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Kernel time vs block configuration (median; error bars: 95% CI of the median; red labels: not a multiple of 32).</w:t>
      </w:r>
    </w:p>
    <w:p>
      <w:pPr>
        <w:pStyle w:val="TableCaption"/>
      </w:pPr>
      <w:r>
        <w:rPr>
          <w:b/>
          <w:bCs/>
        </w:rPr>
        <w:t xml:space="preserve">Table 1.</w:t>
      </w:r>
      <w:r>
        <w:t xml:space="preserve"> </w:t>
      </w:r>
      <w:r>
        <w:t xml:space="preserve">Best configuration per kernel and size. Peaks: 264 GB/s, 5.93 TFLOP/s.</w:t>
      </w:r>
      <w:r>
        <w:t xml:space="preserve"> </w:t>
      </w:r>
      <w:r>
        <w:t xml:space="preserve">“vs. default”</w:t>
      </w:r>
      <w:r>
        <w:t xml:space="preserve"> </w:t>
      </w:r>
      <w:r>
        <w:t xml:space="preserve">compares against 256 / 16×16. End-to-end includes pageable copies (</w:t>
      </w:r>
      <w:r>
        <w:rPr>
          <w:rStyle w:val="VerbatimChar"/>
        </w:rPr>
        <w:t xml:space="preserve">results/processed/summary_table_compact.md</w:t>
      </w:r>
      <w:r>
        <w:t xml:space="preserve">).</w:t>
      </w:r>
    </w:p>
    <w:tbl>
      <w:tblPr>
        <w:tblStyle w:val="Table"/>
        <w:tblW w:type="pct" w:w="5000"/>
        <w:tblLayout w:type="fixed"/>
        <w:tblLook w:firstRow="1" w:lastRow="0" w:firstColumn="0" w:lastColumn="0" w:noHBand="0" w:noVBand="0" w:val="0020"/>
        <w:tblCaption w:val="Table 1. Best configuration per kernel and size. Peaks: 264 GB/s, 5.93 TFLOP/s. “vs. default” compares against 256 / 16×16. End-to-end includes pageable copies (results/processed/summary_table_compact.md)."/>
      </w:tblPr>
      <w:tblGrid>
        <w:gridCol w:w="582"/>
        <w:gridCol w:w="582"/>
        <w:gridCol w:w="582"/>
        <w:gridCol w:w="2212"/>
        <w:gridCol w:w="1863"/>
        <w:gridCol w:w="815"/>
        <w:gridCol w:w="1281"/>
      </w:tblGrid>
      <w:tr>
        <w:trPr>
          <w:tblHeader w:val="on"/>
        </w:trPr>
        <w:tc>
          <w:tcPr/>
          <w:p>
            <w:pPr>
              <w:pStyle w:val="Compact"/>
              <w:spacing w:after="0"/>
            </w:pPr>
            <w:r>
              <w:rPr>
                <w:sz w:val="14"/>
              </w:rPr>
              <w:t xml:space="preserve">Kernel</w:t>
            </w:r>
          </w:p>
        </w:tc>
        <w:tc>
          <w:tcPr/>
          <w:p>
            <w:pPr>
              <w:pStyle w:val="Compact"/>
              <w:spacing w:after="0"/>
            </w:pPr>
            <w:r>
              <w:rPr>
                <w:sz w:val="14"/>
              </w:rPr>
              <w:t xml:space="preserve">Size</w:t>
            </w:r>
          </w:p>
        </w:tc>
        <w:tc>
          <w:tcPr/>
          <w:p>
            <w:pPr>
              <w:pStyle w:val="Compact"/>
              <w:spacing w:after="0"/>
            </w:pPr>
            <w:r>
              <w:rPr>
                <w:sz w:val="14"/>
              </w:rPr>
              <w:t xml:space="preserve">Best</w:t>
            </w:r>
          </w:p>
        </w:tc>
        <w:tc>
          <w:tcPr/>
          <w:p>
            <w:pPr>
              <w:pStyle w:val="Compact"/>
              <w:spacing w:after="0"/>
            </w:pPr>
            <w:r>
              <w:rPr>
                <w:sz w:val="14"/>
              </w:rPr>
              <w:t xml:space="preserve">Median ms [95% CI]</w:t>
            </w:r>
          </w:p>
        </w:tc>
        <w:tc>
          <w:tcPr/>
          <w:p>
            <w:pPr>
              <w:pStyle w:val="Compact"/>
              <w:spacing w:after="0"/>
            </w:pPr>
            <w:r>
              <w:rPr>
                <w:sz w:val="14"/>
              </w:rPr>
              <w:t xml:space="preserve">Throughput (% peak)</w:t>
            </w:r>
          </w:p>
        </w:tc>
        <w:tc>
          <w:tcPr/>
          <w:p>
            <w:pPr>
              <w:pStyle w:val="Compact"/>
              <w:spacing w:after="0"/>
            </w:pPr>
            <w:r>
              <w:rPr>
                <w:sz w:val="14"/>
              </w:rPr>
              <w:t xml:space="preserve">vs. default</w:t>
            </w:r>
          </w:p>
        </w:tc>
        <w:tc>
          <w:tcPr/>
          <w:p>
            <w:pPr>
              <w:pStyle w:val="Compact"/>
              <w:spacing w:after="0"/>
            </w:pPr>
            <w:r>
              <w:rPr>
                <w:sz w:val="14"/>
              </w:rPr>
              <w:t xml:space="preserve">vs. CPU (kernel / e2e)</w:t>
            </w:r>
          </w:p>
        </w:tc>
      </w:tr>
      <w:tr>
        <w:tc>
          <w:tcPr/>
          <w:p>
            <w:pPr>
              <w:pStyle w:val="Compact"/>
              <w:spacing w:after="0"/>
            </w:pPr>
            <w:r>
              <w:rPr>
                <w:sz w:val="14"/>
              </w:rPr>
              <w:t xml:space="preserve">conv3</w:t>
            </w:r>
          </w:p>
        </w:tc>
        <w:tc>
          <w:tcPr/>
          <w:p>
            <w:pPr>
              <w:pStyle w:val="Compact"/>
              <w:spacing w:after="0"/>
            </w:pPr>
            <w:r>
              <w:rPr>
                <w:sz w:val="14"/>
              </w:rPr>
              <w:t xml:space="preserve">1024²</w:t>
            </w:r>
          </w:p>
        </w:tc>
        <w:tc>
          <w:tcPr/>
          <w:p>
            <w:pPr>
              <w:pStyle w:val="Compact"/>
              <w:spacing w:after="0"/>
            </w:pPr>
            <w:r>
              <w:rPr>
                <w:sz w:val="14"/>
              </w:rPr>
              <w:t xml:space="preserve">64x4</w:t>
            </w:r>
          </w:p>
        </w:tc>
        <w:tc>
          <w:tcPr/>
          <w:p>
            <w:pPr>
              <w:pStyle w:val="Compact"/>
              <w:spacing w:after="0"/>
            </w:pPr>
            <w:r>
              <w:rPr>
                <w:sz w:val="14"/>
              </w:rPr>
              <w:t xml:space="preserve">0.0596 [0.05734, 0.06576]</w:t>
            </w:r>
          </w:p>
        </w:tc>
        <w:tc>
          <w:tcPr/>
          <w:p>
            <w:pPr>
              <w:pStyle w:val="Compact"/>
              <w:spacing w:after="0"/>
            </w:pPr>
            <w:r>
              <w:rPr>
                <w:sz w:val="14"/>
              </w:rPr>
              <w:t xml:space="preserve">140.7 GB/s (53.3%)</w:t>
            </w:r>
          </w:p>
        </w:tc>
        <w:tc>
          <w:tcPr/>
          <w:p>
            <w:pPr>
              <w:pStyle w:val="Compact"/>
              <w:spacing w:after="0"/>
            </w:pPr>
            <w:r>
              <w:rPr>
                <w:sz w:val="14"/>
              </w:rPr>
              <w:t xml:space="preserve">1.16×</w:t>
            </w:r>
          </w:p>
        </w:tc>
        <w:tc>
          <w:tcPr/>
          <w:p>
            <w:pPr>
              <w:pStyle w:val="Compact"/>
              <w:spacing w:after="0"/>
            </w:pPr>
            <w:r>
              <w:rPr>
                <w:sz w:val="14"/>
              </w:rPr>
              <w:t xml:space="preserve">536× / 17.1×</w:t>
            </w:r>
          </w:p>
        </w:tc>
      </w:tr>
      <w:tr>
        <w:tc>
          <w:tcPr/>
          <w:p>
            <w:pPr>
              <w:pStyle w:val="Compact"/>
              <w:spacing w:after="0"/>
            </w:pPr>
            <w:r>
              <w:rPr>
                <w:sz w:val="14"/>
              </w:rPr>
              <w:t xml:space="preserve">conv3</w:t>
            </w:r>
          </w:p>
        </w:tc>
        <w:tc>
          <w:tcPr/>
          <w:p>
            <w:pPr>
              <w:pStyle w:val="Compact"/>
              <w:spacing w:after="0"/>
            </w:pPr>
            <w:r>
              <w:rPr>
                <w:sz w:val="14"/>
              </w:rPr>
              <w:t xml:space="preserve">2048²</w:t>
            </w:r>
          </w:p>
        </w:tc>
        <w:tc>
          <w:tcPr/>
          <w:p>
            <w:pPr>
              <w:pStyle w:val="Compact"/>
              <w:spacing w:after="0"/>
            </w:pPr>
            <w:r>
              <w:rPr>
                <w:sz w:val="14"/>
              </w:rPr>
              <w:t xml:space="preserve">128x1</w:t>
            </w:r>
          </w:p>
        </w:tc>
        <w:tc>
          <w:tcPr/>
          <w:p>
            <w:pPr>
              <w:pStyle w:val="Compact"/>
              <w:spacing w:after="0"/>
            </w:pPr>
            <w:r>
              <w:rPr>
                <w:sz w:val="14"/>
              </w:rPr>
              <w:t xml:space="preserve">0.1717 [0.1707, 0.1724]</w:t>
            </w:r>
          </w:p>
        </w:tc>
        <w:tc>
          <w:tcPr/>
          <w:p>
            <w:pPr>
              <w:pStyle w:val="Compact"/>
              <w:spacing w:after="0"/>
            </w:pPr>
            <w:r>
              <w:rPr>
                <w:sz w:val="14"/>
              </w:rPr>
              <w:t xml:space="preserve">195.4 GB/s (74.0%)</w:t>
            </w:r>
          </w:p>
        </w:tc>
        <w:tc>
          <w:tcPr/>
          <w:p>
            <w:pPr>
              <w:pStyle w:val="Compact"/>
              <w:spacing w:after="0"/>
            </w:pPr>
            <w:r>
              <w:rPr>
                <w:sz w:val="14"/>
              </w:rPr>
              <w:t xml:space="preserve">1.17×</w:t>
            </w:r>
          </w:p>
        </w:tc>
        <w:tc>
          <w:tcPr/>
          <w:p>
            <w:pPr>
              <w:pStyle w:val="Compact"/>
              <w:spacing w:after="0"/>
            </w:pPr>
            <w:r>
              <w:rPr>
                <w:sz w:val="14"/>
              </w:rPr>
              <w:t xml:space="preserve">706× / 19.1×</w:t>
            </w:r>
          </w:p>
        </w:tc>
      </w:tr>
      <w:tr>
        <w:tc>
          <w:tcPr/>
          <w:p>
            <w:pPr>
              <w:pStyle w:val="Compact"/>
              <w:spacing w:after="0"/>
            </w:pPr>
            <w:r>
              <w:rPr>
                <w:sz w:val="14"/>
              </w:rPr>
              <w:t xml:space="preserve">conv3</w:t>
            </w:r>
          </w:p>
        </w:tc>
        <w:tc>
          <w:tcPr/>
          <w:p>
            <w:pPr>
              <w:pStyle w:val="Compact"/>
              <w:spacing w:after="0"/>
            </w:pPr>
            <w:r>
              <w:rPr>
                <w:sz w:val="14"/>
              </w:rPr>
              <w:t xml:space="preserve">4096²</w:t>
            </w:r>
          </w:p>
        </w:tc>
        <w:tc>
          <w:tcPr/>
          <w:p>
            <w:pPr>
              <w:pStyle w:val="Compact"/>
              <w:spacing w:after="0"/>
            </w:pPr>
            <w:r>
              <w:rPr>
                <w:sz w:val="14"/>
              </w:rPr>
              <w:t xml:space="preserve">256x1</w:t>
            </w:r>
          </w:p>
        </w:tc>
        <w:tc>
          <w:tcPr/>
          <w:p>
            <w:pPr>
              <w:pStyle w:val="Compact"/>
              <w:spacing w:after="0"/>
            </w:pPr>
            <w:r>
              <w:rPr>
                <w:sz w:val="14"/>
              </w:rPr>
              <w:t xml:space="preserve">0.678 [0.6763, 0.6848]</w:t>
            </w:r>
          </w:p>
        </w:tc>
        <w:tc>
          <w:tcPr/>
          <w:p>
            <w:pPr>
              <w:pStyle w:val="Compact"/>
              <w:spacing w:after="0"/>
            </w:pPr>
            <w:r>
              <w:rPr>
                <w:sz w:val="14"/>
              </w:rPr>
              <w:t xml:space="preserve">198.0 GB/s (75.0%)</w:t>
            </w:r>
          </w:p>
        </w:tc>
        <w:tc>
          <w:tcPr/>
          <w:p>
            <w:pPr>
              <w:pStyle w:val="Compact"/>
              <w:spacing w:after="0"/>
            </w:pPr>
            <w:r>
              <w:rPr>
                <w:sz w:val="14"/>
              </w:rPr>
              <w:t xml:space="preserve">1.14×</w:t>
            </w:r>
          </w:p>
        </w:tc>
        <w:tc>
          <w:tcPr/>
          <w:p>
            <w:pPr>
              <w:pStyle w:val="Compact"/>
              <w:spacing w:after="0"/>
            </w:pPr>
            <w:r>
              <w:rPr>
                <w:sz w:val="14"/>
              </w:rPr>
              <w:t xml:space="preserve">735× / 20.5×</w:t>
            </w:r>
          </w:p>
        </w:tc>
      </w:tr>
      <w:tr>
        <w:tc>
          <w:tcPr/>
          <w:p>
            <w:pPr>
              <w:pStyle w:val="Compact"/>
              <w:spacing w:after="0"/>
            </w:pPr>
            <w:r>
              <w:rPr>
                <w:sz w:val="14"/>
              </w:rPr>
              <w:t xml:space="preserve">conv5</w:t>
            </w:r>
          </w:p>
        </w:tc>
        <w:tc>
          <w:tcPr/>
          <w:p>
            <w:pPr>
              <w:pStyle w:val="Compact"/>
              <w:spacing w:after="0"/>
            </w:pPr>
            <w:r>
              <w:rPr>
                <w:sz w:val="14"/>
              </w:rPr>
              <w:t xml:space="preserve">1024²</w:t>
            </w:r>
          </w:p>
        </w:tc>
        <w:tc>
          <w:tcPr/>
          <w:p>
            <w:pPr>
              <w:pStyle w:val="Compact"/>
              <w:spacing w:after="0"/>
            </w:pPr>
            <w:r>
              <w:rPr>
                <w:sz w:val="14"/>
              </w:rPr>
              <w:t xml:space="preserve">64x8</w:t>
            </w:r>
          </w:p>
        </w:tc>
        <w:tc>
          <w:tcPr/>
          <w:p>
            <w:pPr>
              <w:pStyle w:val="Compact"/>
              <w:spacing w:after="0"/>
            </w:pPr>
            <w:r>
              <w:rPr>
                <w:sz w:val="14"/>
              </w:rPr>
              <w:t xml:space="preserve">0.08107 [0.07987, 0.08602]</w:t>
            </w:r>
          </w:p>
        </w:tc>
        <w:tc>
          <w:tcPr/>
          <w:p>
            <w:pPr>
              <w:pStyle w:val="Compact"/>
              <w:spacing w:after="0"/>
            </w:pPr>
            <w:r>
              <w:rPr>
                <w:sz w:val="14"/>
              </w:rPr>
              <w:t xml:space="preserve">103.5 GB/s (39.2%)</w:t>
            </w:r>
          </w:p>
        </w:tc>
        <w:tc>
          <w:tcPr/>
          <w:p>
            <w:pPr>
              <w:pStyle w:val="Compact"/>
              <w:spacing w:after="0"/>
            </w:pPr>
            <w:r>
              <w:rPr>
                <w:sz w:val="14"/>
              </w:rPr>
              <w:t xml:space="preserve">1.21×</w:t>
            </w:r>
          </w:p>
        </w:tc>
        <w:tc>
          <w:tcPr/>
          <w:p>
            <w:pPr>
              <w:pStyle w:val="Compact"/>
              <w:spacing w:after="0"/>
            </w:pPr>
            <w:r>
              <w:rPr>
                <w:sz w:val="14"/>
              </w:rPr>
              <w:t xml:space="preserve">694× / 28.6×</w:t>
            </w:r>
          </w:p>
        </w:tc>
      </w:tr>
      <w:tr>
        <w:tc>
          <w:tcPr/>
          <w:p>
            <w:pPr>
              <w:pStyle w:val="Compact"/>
              <w:spacing w:after="0"/>
            </w:pPr>
            <w:r>
              <w:rPr>
                <w:sz w:val="14"/>
              </w:rPr>
              <w:t xml:space="preserve">conv5</w:t>
            </w:r>
          </w:p>
        </w:tc>
        <w:tc>
          <w:tcPr/>
          <w:p>
            <w:pPr>
              <w:pStyle w:val="Compact"/>
              <w:spacing w:after="0"/>
            </w:pPr>
            <w:r>
              <w:rPr>
                <w:sz w:val="14"/>
              </w:rPr>
              <w:t xml:space="preserve">2048²</w:t>
            </w:r>
          </w:p>
        </w:tc>
        <w:tc>
          <w:tcPr/>
          <w:p>
            <w:pPr>
              <w:pStyle w:val="Compact"/>
              <w:spacing w:after="0"/>
            </w:pPr>
            <w:r>
              <w:rPr>
                <w:sz w:val="14"/>
              </w:rPr>
              <w:t xml:space="preserve">32x8</w:t>
            </w:r>
          </w:p>
        </w:tc>
        <w:tc>
          <w:tcPr/>
          <w:p>
            <w:pPr>
              <w:pStyle w:val="Compact"/>
              <w:spacing w:after="0"/>
            </w:pPr>
            <w:r>
              <w:rPr>
                <w:sz w:val="14"/>
              </w:rPr>
              <w:t xml:space="preserve">0.2859 [0.2847, 0.2966]</w:t>
            </w:r>
          </w:p>
        </w:tc>
        <w:tc>
          <w:tcPr/>
          <w:p>
            <w:pPr>
              <w:pStyle w:val="Compact"/>
              <w:spacing w:after="0"/>
            </w:pPr>
            <w:r>
              <w:rPr>
                <w:sz w:val="14"/>
              </w:rPr>
              <w:t xml:space="preserve">117.4 GB/s (44.4%)</w:t>
            </w:r>
          </w:p>
        </w:tc>
        <w:tc>
          <w:tcPr/>
          <w:p>
            <w:pPr>
              <w:pStyle w:val="Compact"/>
              <w:spacing w:after="0"/>
            </w:pPr>
            <w:r>
              <w:rPr>
                <w:sz w:val="14"/>
              </w:rPr>
              <w:t xml:space="preserve">1.23×</w:t>
            </w:r>
          </w:p>
        </w:tc>
        <w:tc>
          <w:tcPr/>
          <w:p>
            <w:pPr>
              <w:pStyle w:val="Compact"/>
              <w:spacing w:after="0"/>
            </w:pPr>
            <w:r>
              <w:rPr>
                <w:sz w:val="14"/>
              </w:rPr>
              <w:t xml:space="preserve">1038× / 45.2×</w:t>
            </w:r>
          </w:p>
        </w:tc>
      </w:tr>
      <w:tr>
        <w:tc>
          <w:tcPr/>
          <w:p>
            <w:pPr>
              <w:pStyle w:val="Compact"/>
              <w:spacing w:after="0"/>
            </w:pPr>
            <w:r>
              <w:rPr>
                <w:sz w:val="14"/>
              </w:rPr>
              <w:t xml:space="preserve">conv5</w:t>
            </w:r>
          </w:p>
        </w:tc>
        <w:tc>
          <w:tcPr/>
          <w:p>
            <w:pPr>
              <w:pStyle w:val="Compact"/>
              <w:spacing w:after="0"/>
            </w:pPr>
            <w:r>
              <w:rPr>
                <w:sz w:val="14"/>
              </w:rPr>
              <w:t xml:space="preserve">4096²</w:t>
            </w:r>
          </w:p>
        </w:tc>
        <w:tc>
          <w:tcPr/>
          <w:p>
            <w:pPr>
              <w:pStyle w:val="Compact"/>
              <w:spacing w:after="0"/>
            </w:pPr>
            <w:r>
              <w:rPr>
                <w:sz w:val="14"/>
              </w:rPr>
              <w:t xml:space="preserve">32x8</w:t>
            </w:r>
          </w:p>
        </w:tc>
        <w:tc>
          <w:tcPr/>
          <w:p>
            <w:pPr>
              <w:pStyle w:val="Compact"/>
              <w:spacing w:after="0"/>
            </w:pPr>
            <w:r>
              <w:rPr>
                <w:sz w:val="14"/>
              </w:rPr>
              <w:t xml:space="preserve">1.116 [1.107, 1.126]</w:t>
            </w:r>
          </w:p>
        </w:tc>
        <w:tc>
          <w:tcPr/>
          <w:p>
            <w:pPr>
              <w:pStyle w:val="Compact"/>
              <w:spacing w:after="0"/>
            </w:pPr>
            <w:r>
              <w:rPr>
                <w:sz w:val="14"/>
              </w:rPr>
              <w:t xml:space="preserve">120.2 GB/s (45.5%)</w:t>
            </w:r>
          </w:p>
        </w:tc>
        <w:tc>
          <w:tcPr/>
          <w:p>
            <w:pPr>
              <w:pStyle w:val="Compact"/>
              <w:spacing w:after="0"/>
            </w:pPr>
            <w:r>
              <w:rPr>
                <w:sz w:val="14"/>
              </w:rPr>
              <w:t xml:space="preserve">1.22×</w:t>
            </w:r>
          </w:p>
        </w:tc>
        <w:tc>
          <w:tcPr/>
          <w:p>
            <w:pPr>
              <w:pStyle w:val="Compact"/>
              <w:spacing w:after="0"/>
            </w:pPr>
            <w:r>
              <w:rPr>
                <w:sz w:val="14"/>
              </w:rPr>
              <w:t xml:space="preserve">1162× / 50.6×</w:t>
            </w:r>
          </w:p>
        </w:tc>
      </w:tr>
      <w:tr>
        <w:tc>
          <w:tcPr/>
          <w:p>
            <w:pPr>
              <w:pStyle w:val="Compact"/>
              <w:spacing w:after="0"/>
            </w:pPr>
            <w:r>
              <w:rPr>
                <w:sz w:val="14"/>
              </w:rPr>
              <w:t xml:space="preserve">matmul</w:t>
            </w:r>
          </w:p>
        </w:tc>
        <w:tc>
          <w:tcPr/>
          <w:p>
            <w:pPr>
              <w:pStyle w:val="Compact"/>
              <w:spacing w:after="0"/>
            </w:pPr>
            <w:r>
              <w:rPr>
                <w:sz w:val="14"/>
              </w:rPr>
              <w:t xml:space="preserve">512²</w:t>
            </w:r>
          </w:p>
        </w:tc>
        <w:tc>
          <w:tcPr/>
          <w:p>
            <w:pPr>
              <w:pStyle w:val="Compact"/>
              <w:spacing w:after="0"/>
            </w:pPr>
            <w:r>
              <w:rPr>
                <w:sz w:val="14"/>
              </w:rPr>
              <w:t xml:space="preserve">128x8</w:t>
            </w:r>
          </w:p>
        </w:tc>
        <w:tc>
          <w:tcPr/>
          <w:p>
            <w:pPr>
              <w:pStyle w:val="Compact"/>
              <w:spacing w:after="0"/>
            </w:pPr>
            <w:r>
              <w:rPr>
                <w:sz w:val="14"/>
              </w:rPr>
              <w:t xml:space="preserve">0.4162 [0.4157, 0.4195]</w:t>
            </w:r>
          </w:p>
        </w:tc>
        <w:tc>
          <w:tcPr/>
          <w:p>
            <w:pPr>
              <w:pStyle w:val="Compact"/>
              <w:spacing w:after="0"/>
            </w:pPr>
            <w:r>
              <w:rPr>
                <w:sz w:val="14"/>
              </w:rPr>
              <w:t xml:space="preserve">645.0 GFLOP/s (10.9%)</w:t>
            </w:r>
          </w:p>
        </w:tc>
        <w:tc>
          <w:tcPr/>
          <w:p>
            <w:pPr>
              <w:pStyle w:val="Compact"/>
              <w:spacing w:after="0"/>
            </w:pPr>
            <w:r>
              <w:rPr>
                <w:sz w:val="14"/>
              </w:rPr>
              <w:t xml:space="preserve">1.38×</w:t>
            </w:r>
          </w:p>
        </w:tc>
        <w:tc>
          <w:tcPr/>
          <w:p>
            <w:pPr>
              <w:pStyle w:val="Compact"/>
              <w:spacing w:after="0"/>
            </w:pPr>
            <w:r>
              <w:rPr>
                <w:sz w:val="14"/>
              </w:rPr>
              <w:t xml:space="preserve">78× / 24.7×</w:t>
            </w:r>
          </w:p>
        </w:tc>
      </w:tr>
      <w:tr>
        <w:tc>
          <w:tcPr/>
          <w:p>
            <w:pPr>
              <w:pStyle w:val="Compact"/>
              <w:spacing w:after="0"/>
            </w:pPr>
            <w:r>
              <w:rPr>
                <w:sz w:val="14"/>
              </w:rPr>
              <w:t xml:space="preserve">matmul</w:t>
            </w:r>
          </w:p>
        </w:tc>
        <w:tc>
          <w:tcPr/>
          <w:p>
            <w:pPr>
              <w:pStyle w:val="Compact"/>
              <w:spacing w:after="0"/>
            </w:pPr>
            <w:r>
              <w:rPr>
                <w:sz w:val="14"/>
              </w:rPr>
              <w:t xml:space="preserve">1024²</w:t>
            </w:r>
          </w:p>
        </w:tc>
        <w:tc>
          <w:tcPr/>
          <w:p>
            <w:pPr>
              <w:pStyle w:val="Compact"/>
              <w:spacing w:after="0"/>
            </w:pPr>
            <w:r>
              <w:rPr>
                <w:sz w:val="14"/>
              </w:rPr>
              <w:t xml:space="preserve">64x16</w:t>
            </w:r>
          </w:p>
        </w:tc>
        <w:tc>
          <w:tcPr/>
          <w:p>
            <w:pPr>
              <w:pStyle w:val="Compact"/>
              <w:spacing w:after="0"/>
            </w:pPr>
            <w:r>
              <w:rPr>
                <w:sz w:val="14"/>
              </w:rPr>
              <w:t xml:space="preserve">3.55 [3.518, 3.652]</w:t>
            </w:r>
          </w:p>
        </w:tc>
        <w:tc>
          <w:tcPr/>
          <w:p>
            <w:pPr>
              <w:pStyle w:val="Compact"/>
              <w:spacing w:after="0"/>
            </w:pPr>
            <w:r>
              <w:rPr>
                <w:sz w:val="14"/>
              </w:rPr>
              <w:t xml:space="preserve">605.0 GFLOP/s (10.2%)</w:t>
            </w:r>
          </w:p>
        </w:tc>
        <w:tc>
          <w:tcPr/>
          <w:p>
            <w:pPr>
              <w:pStyle w:val="Compact"/>
              <w:spacing w:after="0"/>
            </w:pPr>
            <w:r>
              <w:rPr>
                <w:sz w:val="14"/>
              </w:rPr>
              <w:t xml:space="preserve">1.39×</w:t>
            </w:r>
          </w:p>
        </w:tc>
        <w:tc>
          <w:tcPr/>
          <w:p>
            <w:pPr>
              <w:pStyle w:val="Compact"/>
              <w:spacing w:after="0"/>
            </w:pPr>
            <w:r>
              <w:rPr>
                <w:sz w:val="14"/>
              </w:rPr>
              <w:t xml:space="preserve">86× / 49.3×</w:t>
            </w:r>
          </w:p>
        </w:tc>
      </w:tr>
      <w:tr>
        <w:tc>
          <w:tcPr/>
          <w:p>
            <w:pPr>
              <w:pStyle w:val="Compact"/>
              <w:spacing w:after="0"/>
            </w:pPr>
            <w:r>
              <w:rPr>
                <w:sz w:val="14"/>
              </w:rPr>
              <w:t xml:space="preserve">matmul</w:t>
            </w:r>
          </w:p>
        </w:tc>
        <w:tc>
          <w:tcPr/>
          <w:p>
            <w:pPr>
              <w:pStyle w:val="Compact"/>
              <w:spacing w:after="0"/>
            </w:pPr>
            <w:r>
              <w:rPr>
                <w:sz w:val="14"/>
              </w:rPr>
              <w:t xml:space="preserve">2048²</w:t>
            </w:r>
          </w:p>
        </w:tc>
        <w:tc>
          <w:tcPr/>
          <w:p>
            <w:pPr>
              <w:pStyle w:val="Compact"/>
              <w:spacing w:after="0"/>
            </w:pPr>
            <w:r>
              <w:rPr>
                <w:sz w:val="14"/>
              </w:rPr>
              <w:t xml:space="preserve">128x8</w:t>
            </w:r>
          </w:p>
        </w:tc>
        <w:tc>
          <w:tcPr/>
          <w:p>
            <w:pPr>
              <w:pStyle w:val="Compact"/>
              <w:spacing w:after="0"/>
            </w:pPr>
            <w:r>
              <w:rPr>
                <w:sz w:val="14"/>
              </w:rPr>
              <w:t xml:space="preserve">27.79 [27.64, 28.44]</w:t>
            </w:r>
          </w:p>
        </w:tc>
        <w:tc>
          <w:tcPr/>
          <w:p>
            <w:pPr>
              <w:pStyle w:val="Compact"/>
              <w:spacing w:after="0"/>
            </w:pPr>
            <w:r>
              <w:rPr>
                <w:sz w:val="14"/>
              </w:rPr>
              <w:t xml:space="preserve">618.2 GFLOP/s (10.4%)</w:t>
            </w:r>
          </w:p>
        </w:tc>
        <w:tc>
          <w:tcPr/>
          <w:p>
            <w:pPr>
              <w:pStyle w:val="Compact"/>
              <w:spacing w:after="0"/>
            </w:pPr>
            <w:r>
              <w:rPr>
                <w:sz w:val="14"/>
              </w:rPr>
              <w:t xml:space="preserve">1.49×</w:t>
            </w:r>
          </w:p>
        </w:tc>
        <w:tc>
          <w:tcPr/>
          <w:p>
            <w:pPr>
              <w:pStyle w:val="Compact"/>
              <w:spacing w:after="0"/>
            </w:pPr>
            <w:r>
              <w:rPr>
                <w:sz w:val="14"/>
              </w:rPr>
              <w:t xml:space="preserve">121× / 86.4×</w:t>
            </w:r>
          </w:p>
        </w:tc>
      </w:tr>
      <w:tr>
        <w:tc>
          <w:tcPr/>
          <w:p>
            <w:pPr>
              <w:pStyle w:val="Compact"/>
              <w:spacing w:after="0"/>
            </w:pPr>
            <w:r>
              <w:rPr>
                <w:sz w:val="14"/>
              </w:rPr>
              <w:t xml:space="preserve">matmul</w:t>
            </w:r>
          </w:p>
        </w:tc>
        <w:tc>
          <w:tcPr/>
          <w:p>
            <w:pPr>
              <w:pStyle w:val="Compact"/>
              <w:spacing w:after="0"/>
            </w:pPr>
            <w:r>
              <w:rPr>
                <w:sz w:val="14"/>
              </w:rPr>
              <w:t xml:space="preserve">4096²</w:t>
            </w:r>
          </w:p>
        </w:tc>
        <w:tc>
          <w:tcPr/>
          <w:p>
            <w:pPr>
              <w:pStyle w:val="Compact"/>
              <w:spacing w:after="0"/>
            </w:pPr>
            <w:r>
              <w:rPr>
                <w:sz w:val="14"/>
              </w:rPr>
              <w:t xml:space="preserve">32x32</w:t>
            </w:r>
          </w:p>
        </w:tc>
        <w:tc>
          <w:tcPr/>
          <w:p>
            <w:pPr>
              <w:pStyle w:val="Compact"/>
              <w:spacing w:after="0"/>
            </w:pPr>
            <w:r>
              <w:rPr>
                <w:sz w:val="14"/>
              </w:rPr>
              <w:t xml:space="preserve">238.7 [236, 242]</w:t>
            </w:r>
          </w:p>
        </w:tc>
        <w:tc>
          <w:tcPr/>
          <w:p>
            <w:pPr>
              <w:pStyle w:val="Compact"/>
              <w:spacing w:after="0"/>
            </w:pPr>
            <w:r>
              <w:rPr>
                <w:sz w:val="14"/>
              </w:rPr>
              <w:t xml:space="preserve">575.7 GFLOP/s (9.7%)</w:t>
            </w:r>
          </w:p>
        </w:tc>
        <w:tc>
          <w:tcPr/>
          <w:p>
            <w:pPr>
              <w:pStyle w:val="Compact"/>
              <w:spacing w:after="0"/>
            </w:pPr>
            <w:r>
              <w:rPr>
                <w:sz w:val="14"/>
              </w:rPr>
              <w:t xml:space="preserve">1.38×</w:t>
            </w:r>
          </w:p>
        </w:tc>
        <w:tc>
          <w:tcPr/>
          <w:p>
            <w:pPr>
              <w:pStyle w:val="Compact"/>
              <w:spacing w:after="0"/>
            </w:pPr>
            <w:r>
              <w:rPr>
                <w:sz w:val="14"/>
              </w:rPr>
              <w:t xml:space="preserve">131× / 113×</w:t>
            </w:r>
          </w:p>
        </w:tc>
      </w:tr>
      <w:tr>
        <w:tc>
          <w:tcPr/>
          <w:p>
            <w:pPr>
              <w:pStyle w:val="Compact"/>
              <w:spacing w:after="0"/>
            </w:pPr>
            <w:r>
              <w:rPr>
                <w:sz w:val="14"/>
              </w:rPr>
              <w:t xml:space="preserve">vecadd</w:t>
            </w:r>
          </w:p>
        </w:tc>
        <w:tc>
          <w:tcPr/>
          <w:p>
            <w:pPr>
              <w:pStyle w:val="Compact"/>
              <w:spacing w:after="0"/>
            </w:pPr>
            <w:r>
              <w:rPr>
                <w:sz w:val="14"/>
              </w:rPr>
              <w:t xml:space="preserve">2^20</w:t>
            </w:r>
          </w:p>
        </w:tc>
        <w:tc>
          <w:tcPr/>
          <w:p>
            <w:pPr>
              <w:pStyle w:val="Compact"/>
              <w:spacing w:after="0"/>
            </w:pPr>
            <w:r>
              <w:rPr>
                <w:sz w:val="14"/>
              </w:rPr>
              <w:t xml:space="preserve">256</w:t>
            </w:r>
          </w:p>
        </w:tc>
        <w:tc>
          <w:tcPr/>
          <w:p>
            <w:pPr>
              <w:pStyle w:val="Compact"/>
              <w:spacing w:after="0"/>
            </w:pPr>
            <w:r>
              <w:rPr>
                <w:sz w:val="14"/>
              </w:rPr>
              <w:t xml:space="preserve">0.06963 [0.06963, 0.0703]</w:t>
            </w:r>
          </w:p>
        </w:tc>
        <w:tc>
          <w:tcPr/>
          <w:p>
            <w:pPr>
              <w:pStyle w:val="Compact"/>
              <w:spacing w:after="0"/>
            </w:pPr>
            <w:r>
              <w:rPr>
                <w:sz w:val="14"/>
              </w:rPr>
              <w:t xml:space="preserve">180.7 GB/s (68.4%)</w:t>
            </w:r>
          </w:p>
        </w:tc>
        <w:tc>
          <w:tcPr/>
          <w:p>
            <w:pPr>
              <w:pStyle w:val="Compact"/>
              <w:spacing w:after="0"/>
            </w:pPr>
            <w:r>
              <w:rPr>
                <w:sz w:val="14"/>
              </w:rPr>
              <w:t xml:space="preserve">1.00×</w:t>
            </w:r>
          </w:p>
        </w:tc>
        <w:tc>
          <w:tcPr/>
          <w:p>
            <w:pPr>
              <w:pStyle w:val="Compact"/>
              <w:spacing w:after="0"/>
            </w:pPr>
            <w:r>
              <w:rPr>
                <w:sz w:val="14"/>
              </w:rPr>
              <w:t xml:space="preserve">14× / 0.358×</w:t>
            </w:r>
          </w:p>
        </w:tc>
      </w:tr>
      <w:tr>
        <w:tc>
          <w:tcPr/>
          <w:p>
            <w:pPr>
              <w:pStyle w:val="Compact"/>
              <w:spacing w:after="0"/>
            </w:pPr>
            <w:r>
              <w:rPr>
                <w:sz w:val="14"/>
              </w:rPr>
              <w:t xml:space="preserve">vecadd</w:t>
            </w:r>
          </w:p>
        </w:tc>
        <w:tc>
          <w:tcPr/>
          <w:p>
            <w:pPr>
              <w:pStyle w:val="Compact"/>
              <w:spacing w:after="0"/>
            </w:pPr>
            <w:r>
              <w:rPr>
                <w:sz w:val="14"/>
              </w:rPr>
              <w:t xml:space="preserve">2^24</w:t>
            </w:r>
          </w:p>
        </w:tc>
        <w:tc>
          <w:tcPr/>
          <w:p>
            <w:pPr>
              <w:pStyle w:val="Compact"/>
              <w:spacing w:after="0"/>
            </w:pPr>
            <w:r>
              <w:rPr>
                <w:sz w:val="14"/>
              </w:rPr>
              <w:t xml:space="preserve">256</w:t>
            </w:r>
          </w:p>
        </w:tc>
        <w:tc>
          <w:tcPr/>
          <w:p>
            <w:pPr>
              <w:pStyle w:val="Compact"/>
              <w:spacing w:after="0"/>
            </w:pPr>
            <w:r>
              <w:rPr>
                <w:sz w:val="14"/>
              </w:rPr>
              <w:t xml:space="preserve">0.8556 [0.8533, 0.8827]</w:t>
            </w:r>
          </w:p>
        </w:tc>
        <w:tc>
          <w:tcPr/>
          <w:p>
            <w:pPr>
              <w:pStyle w:val="Compact"/>
              <w:spacing w:after="0"/>
            </w:pPr>
            <w:r>
              <w:rPr>
                <w:sz w:val="14"/>
              </w:rPr>
              <w:t xml:space="preserve">235.3 GB/s (89.1%)</w:t>
            </w:r>
          </w:p>
        </w:tc>
        <w:tc>
          <w:tcPr/>
          <w:p>
            <w:pPr>
              <w:pStyle w:val="Compact"/>
              <w:spacing w:after="0"/>
            </w:pPr>
            <w:r>
              <w:rPr>
                <w:sz w:val="14"/>
              </w:rPr>
              <w:t xml:space="preserve">1.00×</w:t>
            </w:r>
          </w:p>
        </w:tc>
        <w:tc>
          <w:tcPr/>
          <w:p>
            <w:pPr>
              <w:pStyle w:val="Compact"/>
              <w:spacing w:after="0"/>
            </w:pPr>
            <w:r>
              <w:rPr>
                <w:sz w:val="14"/>
              </w:rPr>
              <w:t xml:space="preserve">17× / 0.402×</w:t>
            </w:r>
          </w:p>
        </w:tc>
      </w:tr>
      <w:tr>
        <w:tc>
          <w:tcPr/>
          <w:p>
            <w:pPr>
              <w:pStyle w:val="Compact"/>
              <w:spacing w:after="0"/>
            </w:pPr>
            <w:r>
              <w:rPr>
                <w:sz w:val="14"/>
              </w:rPr>
              <w:t xml:space="preserve">vecadd</w:t>
            </w:r>
          </w:p>
        </w:tc>
        <w:tc>
          <w:tcPr/>
          <w:p>
            <w:pPr>
              <w:pStyle w:val="Compact"/>
              <w:spacing w:after="0"/>
            </w:pPr>
            <w:r>
              <w:rPr>
                <w:sz w:val="14"/>
              </w:rPr>
              <w:t xml:space="preserve">2^27</w:t>
            </w:r>
          </w:p>
        </w:tc>
        <w:tc>
          <w:tcPr/>
          <w:p>
            <w:pPr>
              <w:pStyle w:val="Compact"/>
              <w:spacing w:after="0"/>
            </w:pPr>
            <w:r>
              <w:rPr>
                <w:sz w:val="14"/>
              </w:rPr>
              <w:t xml:space="preserve">100</w:t>
            </w:r>
          </w:p>
        </w:tc>
        <w:tc>
          <w:tcPr/>
          <w:p>
            <w:pPr>
              <w:pStyle w:val="Compact"/>
              <w:spacing w:after="0"/>
            </w:pPr>
            <w:r>
              <w:rPr>
                <w:sz w:val="14"/>
              </w:rPr>
              <w:t xml:space="preserve">6.694 [6.685, 6.706]</w:t>
            </w:r>
          </w:p>
        </w:tc>
        <w:tc>
          <w:tcPr/>
          <w:p>
            <w:pPr>
              <w:pStyle w:val="Compact"/>
              <w:spacing w:after="0"/>
            </w:pPr>
            <w:r>
              <w:rPr>
                <w:sz w:val="14"/>
              </w:rPr>
              <w:t xml:space="preserve">240.6 GB/s (91.1%)</w:t>
            </w:r>
          </w:p>
        </w:tc>
        <w:tc>
          <w:tcPr/>
          <w:p>
            <w:pPr>
              <w:pStyle w:val="Compact"/>
              <w:spacing w:after="0"/>
            </w:pPr>
            <w:r>
              <w:rPr>
                <w:sz w:val="14"/>
              </w:rPr>
              <w:t xml:space="preserve">1.01×</w:t>
            </w:r>
          </w:p>
        </w:tc>
        <w:tc>
          <w:tcPr/>
          <w:p>
            <w:pPr>
              <w:pStyle w:val="Compact"/>
              <w:spacing w:after="0"/>
            </w:pPr>
            <w:r>
              <w:rPr>
                <w:sz w:val="14"/>
              </w:rPr>
              <w:t xml:space="preserve">18× / 0.436×</w:t>
            </w:r>
          </w:p>
        </w:tc>
      </w:tr>
    </w:tbl>
    <w:p>
      <w:pPr>
        <w:pStyle w:val="CaptionedFigure"/>
      </w:pPr>
      <w:r>
        <w:drawing>
          <wp:inline>
            <wp:extent cx="5134102" cy="2345528"/>
            <wp:effectExtent b="0" l="0" r="0" t="0"/>
            <wp:docPr descr="Figure 2. Theoretical (CUDA occupancy API) and achieved (Nsight Compute) occupancy." title="" id="16" name="Picture"/>
            <a:graphic>
              <a:graphicData uri="http://schemas.openxmlformats.org/drawingml/2006/picture">
                <pic:pic>
                  <pic:nvPicPr>
                    <pic:cNvPr descr="../plots/report/r2_occupancy_vs_block.png" id="17" name="Picture"/>
                    <pic:cNvPicPr>
                      <a:picLocks noChangeArrowheads="1" noChangeAspect="1"/>
                    </pic:cNvPicPr>
                  </pic:nvPicPr>
                  <pic:blipFill>
                    <a:blip r:embed="rId15"/>
                    <a:stretch>
                      <a:fillRect/>
                    </a:stretch>
                  </pic:blipFill>
                  <pic:spPr bwMode="auto">
                    <a:xfrm>
                      <a:off x="0" y="0"/>
                      <a:ext cx="5134102" cy="2345528"/>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Theoretical (CUDA occupancy API) and achieved (Nsight Compute) occupancy.</w:t>
      </w:r>
    </w:p>
    <w:p>
      <w:pPr>
        <w:pStyle w:val="CaptionedFigure"/>
      </w:pPr>
      <w:r>
        <w:drawing>
          <wp:inline>
            <wp:extent cx="5134102" cy="2339929"/>
            <wp:effectExtent b="0" l="0" r="0" t="0"/>
            <wp:docPr descr="Figure 3. Throughput vs block configuration (GB/s from compulsory bytes; GFLOP/s for matmul)." title="" id="19" name="Picture"/>
            <a:graphic>
              <a:graphicData uri="http://schemas.openxmlformats.org/drawingml/2006/picture">
                <pic:pic>
                  <pic:nvPicPr>
                    <pic:cNvPr descr="../plots/report/r3_throughput_vs_block.png" id="20" name="Picture"/>
                    <pic:cNvPicPr>
                      <a:picLocks noChangeArrowheads="1" noChangeAspect="1"/>
                    </pic:cNvPicPr>
                  </pic:nvPicPr>
                  <pic:blipFill>
                    <a:blip r:embed="rId18"/>
                    <a:stretch>
                      <a:fillRect/>
                    </a:stretch>
                  </pic:blipFill>
                  <pic:spPr bwMode="auto">
                    <a:xfrm>
                      <a:off x="0" y="0"/>
                      <a:ext cx="5134102" cy="2339929"/>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Throughput vs block configuration (GB/s from compulsory bytes; GFLOP/s for matmul).</w:t>
      </w:r>
    </w:p>
    <w:p>
      <w:pPr>
        <w:pStyle w:val="CaptionedFigure"/>
      </w:pPr>
      <w:r>
        <w:drawing>
          <wp:inline>
            <wp:extent cx="5134102" cy="1505747"/>
            <wp:effectExtent b="0" l="0" r="0" t="0"/>
            <wp:docPr descr="Figure 4. Robustness: worst-case % of per-size optimum over sizes (vector add) and over all 2D kernels × sizes." title="" id="22" name="Picture"/>
            <a:graphic>
              <a:graphicData uri="http://schemas.openxmlformats.org/drawingml/2006/picture">
                <pic:pic>
                  <pic:nvPicPr>
                    <pic:cNvPr descr="../plots/report/r4_cross_kernel_robustness.png" id="23" name="Picture"/>
                    <pic:cNvPicPr>
                      <a:picLocks noChangeArrowheads="1" noChangeAspect="1"/>
                    </pic:cNvPicPr>
                  </pic:nvPicPr>
                  <pic:blipFill>
                    <a:blip r:embed="rId21"/>
                    <a:stretch>
                      <a:fillRect/>
                    </a:stretch>
                  </pic:blipFill>
                  <pic:spPr bwMode="auto">
                    <a:xfrm>
                      <a:off x="0" y="0"/>
                      <a:ext cx="5134102" cy="1505747"/>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Robustness: worst-case % of per-size optimum over sizes (vector add) and over all 2D kernels × sizes.</w:t>
      </w:r>
    </w:p>
    <w:p>
      <w:pPr>
        <w:pStyle w:val="FirstParagraph"/>
      </w:pPr>
      <w:r>
        <w:rPr>
          <w:b/>
          <w:bCs/>
        </w:rPr>
        <w:t xml:space="preserve">Answer to the research question</w:t>
      </w:r>
      <w:r>
        <w:t xml:space="preserve"> </w:t>
      </w:r>
      <w:r>
        <w:t xml:space="preserve">(</w:t>
      </w:r>
      <w:r>
        <w:rPr>
          <w:rStyle w:val="VerbatimChar"/>
        </w:rPr>
        <w:t xml:space="preserve">robustness.csv</w:t>
      </w:r>
      <w:r>
        <w:t xml:space="preserve">,</w:t>
      </w:r>
      <w:r>
        <w:t xml:space="preserve"> </w:t>
      </w:r>
      <w:r>
        <w:rPr>
          <w:rStyle w:val="VerbatimChar"/>
        </w:rPr>
        <w:t xml:space="preserve">robustness_cross_kernel_2d.csv</w:t>
      </w:r>
      <w:r>
        <w:t xml:space="preserve">). For vector add, every multiple of 32 from 64 to 1024 threads stays within 4% of the optimum, and 256 is the most robust (worst 99.5%). For 2D kernels the most robust single shape is</w:t>
      </w:r>
      <w:r>
        <w:t xml:space="preserve"> </w:t>
      </w:r>
      <w:r>
        <w:rPr>
          <w:b/>
          <w:bCs/>
        </w:rPr>
        <w:t xml:space="preserve">32×8</w:t>
      </w:r>
      <w:r>
        <w:t xml:space="preserve">: worst 88.2%, mean 94.2% over all ten kernel–size points. Per kernel, 64×16 is best for matmul (worst 96.5%), 256×1 for conv 3×3 (99.4%) and 32×8 for conv 5×5 (99.5%). The default 16×16 drops to 66.9–72.6% for matmul and 81.5–87.8% for convolution; the best configuration beats it by 1.14–1.49×. The worst shapes reach only 22.5% (64×1, matmul) and 23.7% (4×64, conv 5×5). For matmul, rankings are unchanged when only the second half of the repetitions is used (Spearman ρ ≥ 0.996). For convolution and vector add, near-tied winners swap (</w:t>
      </w:r>
      <w:r>
        <w:rPr>
          <w:rStyle w:val="VerbatimChar"/>
        </w:rPr>
        <w:t xml:space="preserve">sensitivity_steady_state.csv</w:t>
      </w:r>
      <w:r>
        <w:t xml:space="preserve">). The robust answer is therefore a</w:t>
      </w:r>
      <w:r>
        <w:t xml:space="preserve"> </w:t>
      </w:r>
      <w:r>
        <w:rPr>
          <w:i/>
          <w:iCs/>
        </w:rPr>
        <w:t xml:space="preserve">set</w:t>
      </w:r>
      <w:r>
        <w:t xml:space="preserve">: blockDim.x ≥ 32, 256–1024 threads, and blockDim.y ≥ 8 for matmul.</w:t>
      </w:r>
    </w:p>
    <w:p>
      <w:pPr>
        <w:pStyle w:val="Heading2"/>
      </w:pPr>
      <w:bookmarkStart w:id="24" w:name="_discussion"/>
      <w:r>
        <w:t xml:space="preserve">4. Discussion</w:t>
      </w:r>
      <w:bookmarkEnd w:id="24"/>
    </w:p>
    <w:p>
      <w:pPr>
        <w:pStyle w:val="FirstParagraph"/>
      </w:pPr>
      <w:r>
        <w:rPr>
          <w:b/>
          <w:bCs/>
        </w:rPr>
        <w:t xml:space="preserve">Coalescing ranks the 2D shapes.</w:t>
      </w:r>
      <w:r>
        <w:t xml:space="preserve"> </w:t>
      </w:r>
      <w:r>
        <w:t xml:space="preserve">A warp in a 32-wide block reads one 128 B row segment. A 4-wide block spreads it over 8 rows, so matmul uses only 16.7% of each fetched sector (82.5% for 64×16). The result is 97.3 versus 19.5 warps stalled on LSU throttling per issued instruction (</w:t>
      </w:r>
      <w:r>
        <w:rPr>
          <w:i/>
          <w:iCs/>
        </w:rPr>
        <w:t xml:space="preserve">N</w:t>
      </w:r>
      <w:r>
        <w:t xml:space="preserve"> </w:t>
      </w:r>
      <w:r>
        <w:t xml:space="preserve">= 2048,</w:t>
      </w:r>
      <w:r>
        <w:t xml:space="preserve"> </w:t>
      </w:r>
      <w:r>
        <w:rPr>
          <w:rStyle w:val="VerbatimChar"/>
        </w:rPr>
        <w:t xml:space="preserve">ncu_explained.csv</w:t>
      </w:r>
      <w:r>
        <w:t xml:space="preserve">). 16×16 sits in between (56.3%, 28.9): mediocre everywhere.</w:t>
      </w:r>
    </w:p>
    <w:p>
      <w:pPr>
        <w:pStyle w:val="BodyText"/>
      </w:pPr>
      <w:r>
        <w:rPr>
          <w:b/>
          <w:bCs/>
        </w:rPr>
        <w:t xml:space="preserve">Cache reuse sets the block height.</w:t>
      </w:r>
      <w:r>
        <w:t xml:space="preserve"> </w:t>
      </w:r>
      <w:r>
        <w:t xml:space="preserve">Flat blocks suit convolution but ruin matmul at large</w:t>
      </w:r>
      <w:r>
        <w:t xml:space="preserve"> </w:t>
      </w:r>
      <w:r>
        <w:rPr>
          <w:i/>
          <w:iCs/>
        </w:rPr>
        <w:t xml:space="preserve">N</w:t>
      </w:r>
      <w:r>
        <w:t xml:space="preserve">: 256×1 falls from 77.5% of best (</w:t>
      </w:r>
      <w:r>
        <w:rPr>
          <w:i/>
          <w:iCs/>
        </w:rPr>
        <w:t xml:space="preserve">N</w:t>
      </w:r>
      <w:r>
        <w:t xml:space="preserve"> </w:t>
      </w:r>
      <w:r>
        <w:t xml:space="preserve">= 512) to 22.5% (4096), and 32×2 from 93.6% to 27.3%. With</w:t>
      </w:r>
      <w:r>
        <w:t xml:space="preserve"> </w:t>
      </w:r>
      <w:r>
        <w:rPr>
          <w:i/>
          <w:iCs/>
        </w:rPr>
        <w:t xml:space="preserve">by</w:t>
      </w:r>
      <w:r>
        <w:t xml:space="preserve"> </w:t>
      </w:r>
      <w:r>
        <w:t xml:space="preserve">= 1 no two rows in a block share the B columns they stream. L1 hit rate drops from ≈90% to ≈19%, and DRAM traffic rises to 348–616× the compulsory bytes (25–48× for 32×32, 64×16, 128×8), saturating DRAM. Block shape alone moves the kernel between roofline levels [5]. Convolution stays at 0.99–1.47× compulsory DRAM traffic for every shape. Its narrow shapes saturate L1 instead (up to 99.9%), so only coalescing matters there.</w:t>
      </w:r>
    </w:p>
    <w:p>
      <w:pPr>
        <w:pStyle w:val="BodyText"/>
      </w:pPr>
      <w:r>
        <w:rPr>
          <w:b/>
          <w:bCs/>
        </w:rPr>
        <w:t xml:space="preserve">Occupancy does not explain the ranking</w:t>
      </w:r>
      <w:r>
        <w:t xml:space="preserve"> </w:t>
      </w:r>
      <w:r>
        <w:t xml:space="preserve">(Fig. 2,</w:t>
      </w:r>
      <w:r>
        <w:t xml:space="preserve"> </w:t>
      </w:r>
      <w:r>
        <w:rPr>
          <w:rStyle w:val="VerbatimChar"/>
        </w:rPr>
        <w:t xml:space="preserve">occupancy_correlation.csv</w:t>
      </w:r>
      <w:r>
        <w:t xml:space="preserve">). With 19–52 registers per thread and no shared memory, every warp-multiple 2D shape has 100% theoretical occupancy. Achieved occupancy tracks performance only for streaming vector add (r = 0.89, 0.92). It is uncorrelated for matmul (r = 0.26, 0.07) and</w:t>
      </w:r>
      <w:r>
        <w:t xml:space="preserve"> </w:t>
      </w:r>
      <w:r>
        <w:rPr>
          <w:i/>
          <w:iCs/>
        </w:rPr>
        <w:t xml:space="preserve">negatively</w:t>
      </w:r>
      <w:r>
        <w:t xml:space="preserve"> </w:t>
      </w:r>
      <w:r>
        <w:t xml:space="preserve">correlated for conv 5×5 (r = −0.48, p = 0.02; r = −0.46, p = 0.03): 32×8 runs at 69% occupancy, while 4×64, among the slowest, runs at 91%, as Volkov argued [3]. Occupancy matters only at the extreme: 32-thread blocks hit Turing’s 16-blocks/SM cap (50% theoretical, 34–37% achieved), and DRAM throughput falls to 51–53% (81.1% of best at 2^24). Non-warp-multiples (48, 100) waste lanes, but vector add is so DRAM-bound that they still reach ≥96% of best.</w:t>
      </w:r>
    </w:p>
    <w:p>
      <w:pPr>
        <w:pStyle w:val="BodyText"/>
      </w:pPr>
      <w:r>
        <w:rPr>
          <w:b/>
          <w:bCs/>
        </w:rPr>
        <w:t xml:space="preserve">Roofline and overheads.</w:t>
      </w:r>
      <w:r>
        <w:t xml:space="preserve"> </w:t>
      </w:r>
      <w:r>
        <w:t xml:space="preserve">Vector add reaches 89–91% of peak bandwidth. Convolution reaches 39–75%, since its halo re-reads hit L1/L2. Naive matmul reaches 9.7–10.9% of FP32 peak; tiled 32×32 is 1.24–1.40× faster, but tiled 8×8 is slower (0.74–0.81×), so block size still matters after optimisation. Data movement dominates the streaming kernels: the kernel is 2.3–2.6% of end-to-end time for vector add (2.7–4.4% for conv, 32–86% for matmul). Vector add is thus</w:t>
      </w:r>
      <w:r>
        <w:t xml:space="preserve"> </w:t>
      </w:r>
      <w:r>
        <w:rPr>
          <w:i/>
          <w:iCs/>
        </w:rPr>
        <w:t xml:space="preserve">slower</w:t>
      </w:r>
      <w:r>
        <w:t xml:space="preserve"> </w:t>
      </w:r>
      <w:r>
        <w:t xml:space="preserve">than the CPU end-to-end (0.36–0.44×; pinned H2D 6.5 GB/s). WDDM launch overhead is 25–27 µs (launch+sync 34.8 µs; idle sync 0.79 µs,</w:t>
      </w:r>
      <w:r>
        <w:t xml:space="preserve"> </w:t>
      </w:r>
      <w:r>
        <w:rPr>
          <w:rStyle w:val="VerbatimChar"/>
        </w:rPr>
        <w:t xml:space="preserve">overhead_summary.csv</w:t>
      </w:r>
      <w:r>
        <w:t xml:space="preserve">), comparable to the 70 µs 2^20 vector add itself. Block scheduling costs ≈1.3 ns per block: an empty 2^24-thread grid needs at least 658 µs with 32-thread blocks versus 91 µs with 256, and its median is 4–5× higher because of low-power states. Tail effects are negligible (every grid spans ≥ 8.5 waves).</w:t>
      </w:r>
    </w:p>
    <w:p>
      <w:pPr>
        <w:pStyle w:val="Heading2"/>
      </w:pPr>
      <w:bookmarkStart w:id="25" w:name="_56a770e1bbd7a8f6a99853f3f95854d753b4ded"/>
      <w:r>
        <w:t xml:space="preserve">5. Limitations and threats to validity</w:t>
      </w:r>
      <w:bookmarkEnd w:id="25"/>
    </w:p>
    <w:p>
      <w:pPr>
        <w:pStyle w:val="Compact"/>
        <w:numPr>
          <w:ilvl w:val="0"/>
          <w:numId w:val="1001"/>
        </w:numPr>
      </w:pPr>
      <w:r>
        <w:rPr>
          <w:b/>
          <w:bCs/>
        </w:rPr>
        <w:t xml:space="preserve">Throttling:</w:t>
      </w:r>
      <w:r>
        <w:t xml:space="preserve"> </w:t>
      </w:r>
      <w:r>
        <w:t xml:space="preserve">during the matmul sweep the power cap was active in 916 of 999 busy samples, and the SM clock ranged from 1170 to 1875 MHz (</w:t>
      </w:r>
      <w:r>
        <w:rPr>
          <w:rStyle w:val="VerbatimChar"/>
        </w:rPr>
        <w:t xml:space="preserve">gpu_clock_summary.csv</w:t>
      </w:r>
      <w:r>
        <w:t xml:space="preserve">). Interleaving protects</w:t>
      </w:r>
      <w:r>
        <w:t xml:space="preserve"> </w:t>
      </w:r>
      <w:r>
        <w:rPr>
          <w:i/>
          <w:iCs/>
        </w:rPr>
        <w:t xml:space="preserve">relative</w:t>
      </w:r>
      <w:r>
        <w:t xml:space="preserve"> </w:t>
      </w:r>
      <w:r>
        <w:t xml:space="preserve">results; absolute GFLOP/s depend on clock (clock locking needs admin rights). (ii)</w:t>
      </w:r>
      <w:r>
        <w:t xml:space="preserve"> </w:t>
      </w:r>
      <w:r>
        <w:rPr>
          <w:b/>
          <w:bCs/>
        </w:rPr>
        <w:t xml:space="preserve">P-state transients:</w:t>
      </w:r>
      <w:r>
        <w:t xml:space="preserve"> </w:t>
      </w:r>
      <w:r>
        <w:t xml:space="preserve">early repetitions of some runs were 1.3–4× slower, and ≈10% step changes occurred mid-run. 333 of 12,480 rows exceed 1.5× their median (median CV 6.5%, IQR/median 4.0%), hence medians and the steady-state check. (iii) One GPU, one OS, and WDDM’s unusually high launch overhead. (iv) Naive FP32 kernels only, and 3–4 sizes per kernel. (v) ncu replays at base clocks with flushed caches, so its metrics explain but are not timings (achieved occupancy can exceed 100%). (vi) The CPU baseline is single-threaded MSVC</w:t>
      </w:r>
      <w:r>
        <w:t xml:space="preserve"> </w:t>
      </w:r>
      <w:r>
        <w:rPr>
          <w:rStyle w:val="VerbatimChar"/>
        </w:rPr>
        <w:t xml:space="preserve">/O2</w:t>
      </w:r>
      <w:r>
        <w:t xml:space="preserve">. (vii) Shape preference depends on the x = contiguous index mapping.</w:t>
      </w:r>
    </w:p>
    <w:p>
      <w:pPr>
        <w:pStyle w:val="Heading2"/>
      </w:pPr>
      <w:bookmarkStart w:id="26" w:name="_ef6b723b4951d0c2f6bca6cb5d5a7631ae74090"/>
      <w:r>
        <w:t xml:space="preserve">6. Future research directions</w:t>
      </w:r>
      <w:bookmarkEnd w:id="26"/>
    </w:p>
    <w:p>
      <w:pPr>
        <w:pStyle w:val="Compact"/>
        <w:numPr>
          <w:ilvl w:val="0"/>
          <w:numId w:val="1002"/>
        </w:numPr>
      </w:pPr>
      <w:r>
        <w:rPr>
          <w:b/>
          <w:bCs/>
        </w:rPr>
        <w:t xml:space="preserve">Model-guided auto-tuning with transfer:</w:t>
      </w:r>
      <w:r>
        <w:t xml:space="preserve"> </w:t>
      </w:r>
      <w:r>
        <w:t xml:space="preserve">use Kernel Tuner-style search [7, 9], seeded by ncu coalescing and reuse features, and test transfer across sizes and GPUs.</w:t>
      </w:r>
    </w:p>
    <w:p>
      <w:pPr>
        <w:pStyle w:val="Compact"/>
        <w:numPr>
          <w:ilvl w:val="0"/>
          <w:numId w:val="1002"/>
        </w:numPr>
      </w:pPr>
      <w:r>
        <w:rPr>
          <w:b/>
          <w:bCs/>
        </w:rPr>
        <w:t xml:space="preserve">Clock- and energy-aware configuration:</w:t>
      </w:r>
      <w:r>
        <w:t xml:space="preserve"> </w:t>
      </w:r>
      <w:r>
        <w:t xml:space="preserve">sweep at locked and varied clocks to see how throttling reorders configurations, and optimise energy per result [8].</w:t>
      </w:r>
    </w:p>
    <w:p>
      <w:pPr>
        <w:pStyle w:val="Compact"/>
        <w:numPr>
          <w:ilvl w:val="0"/>
          <w:numId w:val="1002"/>
        </w:numPr>
      </w:pPr>
      <w:r>
        <w:rPr>
          <w:b/>
          <w:bCs/>
        </w:rPr>
        <w:t xml:space="preserve">ILP and data reuse beyond occupancy:</w:t>
      </w:r>
      <w:r>
        <w:t xml:space="preserve"> </w:t>
      </w:r>
      <w:r>
        <w:t xml:space="preserve">add thread coarsening and halo-tiled convolution to test Volkov’s low-occupancy hypothesis [3] with the same robustness metric.</w:t>
      </w:r>
    </w:p>
    <w:p>
      <w:pPr>
        <w:pStyle w:val="Heading2"/>
      </w:pPr>
      <w:bookmarkStart w:id="27" w:name="_references"/>
      <w:r>
        <w:t xml:space="preserve">References</w:t>
      </w:r>
      <w:bookmarkEnd w:id="27"/>
    </w:p>
    <w:p>
      <w:pPr>
        <w:pStyle w:val="Bibliography"/>
      </w:pPr>
      <w:r>
        <w:t xml:space="preserve">[1] S. Williams, A. Waterman, D. Patterson,</w:t>
      </w:r>
      <w:r>
        <w:t xml:space="preserve"> </w:t>
      </w:r>
      <w:r>
        <w:t xml:space="preserve">“Roofline: An Insightful Visual Performance Model for Multicore Architectures,”</w:t>
      </w:r>
      <w:r>
        <w:t xml:space="preserve"> </w:t>
      </w:r>
      <w:r>
        <w:rPr>
          <w:i/>
          <w:iCs/>
        </w:rPr>
        <w:t xml:space="preserve">Commun. ACM</w:t>
      </w:r>
      <w:r>
        <w:t xml:space="preserve"> </w:t>
      </w:r>
      <w:r>
        <w:t xml:space="preserve">52(4):65–76, 2009. doi:10.1145/1498765.1498785</w:t>
      </w:r>
    </w:p>
    <w:p>
      <w:pPr>
        <w:pStyle w:val="Bibliography"/>
      </w:pPr>
      <w:r>
        <w:t xml:space="preserve">[2] S. Hong, H. Kim,</w:t>
      </w:r>
      <w:r>
        <w:t xml:space="preserve"> </w:t>
      </w:r>
      <w:r>
        <w:t xml:space="preserve">“An Analytical Model for a GPU Architecture with Memory-level and Thread-level Parallelism Awareness,”</w:t>
      </w:r>
      <w:r>
        <w:t xml:space="preserve"> </w:t>
      </w:r>
      <w:r>
        <w:rPr>
          <w:i/>
          <w:iCs/>
        </w:rPr>
        <w:t xml:space="preserve">Proc. ISCA</w:t>
      </w:r>
      <w:r>
        <w:t xml:space="preserve">, pp. 152–163, 2009. doi:10.1145/1555754.1555775</w:t>
      </w:r>
    </w:p>
    <w:p>
      <w:pPr>
        <w:pStyle w:val="Bibliography"/>
      </w:pPr>
      <w:r>
        <w:t xml:space="preserve">[3] V. Volkov,</w:t>
      </w:r>
      <w:r>
        <w:t xml:space="preserve"> </w:t>
      </w:r>
      <w:r>
        <w:t xml:space="preserve">“Better Performance at Lower Occupancy,”</w:t>
      </w:r>
      <w:r>
        <w:t xml:space="preserve"> </w:t>
      </w:r>
      <w:r>
        <w:t xml:space="preserve">GPU Technology Conference, 2010. https://www.nvidia.com/content/GTC-2010/pdfs/2238_GTC2010.pdf</w:t>
      </w:r>
    </w:p>
    <w:p>
      <w:pPr>
        <w:pStyle w:val="Bibliography"/>
      </w:pPr>
      <w:r>
        <w:t xml:space="preserve">[4] Z. Jia, M. Maggioni, J. Smith, D. P. Scarpazza,</w:t>
      </w:r>
      <w:r>
        <w:t xml:space="preserve"> </w:t>
      </w:r>
      <w:r>
        <w:t xml:space="preserve">“Dissecting the NVidia Turing T4 GPU via Microbenchmarking,”</w:t>
      </w:r>
      <w:r>
        <w:t xml:space="preserve"> </w:t>
      </w:r>
      <w:r>
        <w:t xml:space="preserve">arXiv:1903.07486, 2019.</w:t>
      </w:r>
    </w:p>
    <w:p>
      <w:pPr>
        <w:pStyle w:val="Bibliography"/>
      </w:pPr>
      <w:r>
        <w:t xml:space="preserve">[5] C. Yang, T. Kurth, S. Williams,</w:t>
      </w:r>
      <w:r>
        <w:t xml:space="preserve"> </w:t>
      </w:r>
      <w:r>
        <w:t xml:space="preserve">“Hierarchical Roofline Analysis for GPUs,”</w:t>
      </w:r>
      <w:r>
        <w:t xml:space="preserve"> </w:t>
      </w:r>
      <w:r>
        <w:rPr>
          <w:i/>
          <w:iCs/>
        </w:rPr>
        <w:t xml:space="preserve">Concurrency Computat. Pract. Exper.</w:t>
      </w:r>
      <w:r>
        <w:t xml:space="preserve"> </w:t>
      </w:r>
      <w:r>
        <w:t xml:space="preserve">32(20):e5547, 2020. doi:10.1002/cpe.5547</w:t>
      </w:r>
    </w:p>
    <w:p>
      <w:pPr>
        <w:pStyle w:val="Bibliography"/>
      </w:pPr>
      <w:r>
        <w:t xml:space="preserve">[6] P. Hijma, S. Heldens, A. Sclocco, B. van Werkhoven, H. E. Bal,</w:t>
      </w:r>
      <w:r>
        <w:t xml:space="preserve"> </w:t>
      </w:r>
      <w:r>
        <w:t xml:space="preserve">“Optimization Techniques for GPU Programming,”</w:t>
      </w:r>
      <w:r>
        <w:t xml:space="preserve"> </w:t>
      </w:r>
      <w:r>
        <w:rPr>
          <w:i/>
          <w:iCs/>
        </w:rPr>
        <w:t xml:space="preserve">ACM Comput. Surv.</w:t>
      </w:r>
      <w:r>
        <w:t xml:space="preserve"> </w:t>
      </w:r>
      <w:r>
        <w:t xml:space="preserve">55(11):239, 2023. doi:10.1145/3570638</w:t>
      </w:r>
    </w:p>
    <w:p>
      <w:pPr>
        <w:pStyle w:val="Bibliography"/>
      </w:pPr>
      <w:r>
        <w:t xml:space="preserve">[7] R. Schoonhoven, B. van Werkhoven, K. J. Batenburg,</w:t>
      </w:r>
      <w:r>
        <w:t xml:space="preserve"> </w:t>
      </w:r>
      <w:r>
        <w:t xml:space="preserve">“Benchmarking Optimization Algorithms for Auto-Tuning GPU Kernels,”</w:t>
      </w:r>
      <w:r>
        <w:t xml:space="preserve"> </w:t>
      </w:r>
      <w:r>
        <w:rPr>
          <w:i/>
          <w:iCs/>
        </w:rPr>
        <w:t xml:space="preserve">IEEE Trans. Evol. Comput.</w:t>
      </w:r>
      <w:r>
        <w:t xml:space="preserve"> </w:t>
      </w:r>
      <w:r>
        <w:t xml:space="preserve">27(3):550–564, 2023. doi:10.1109/TEVC.2022.3210654</w:t>
      </w:r>
    </w:p>
    <w:p>
      <w:pPr>
        <w:pStyle w:val="Bibliography"/>
      </w:pPr>
      <w:r>
        <w:t xml:space="preserve">[8] R. Schoonhoven, B. Veenboer, B. van Werkhoven, K. J. Batenburg,</w:t>
      </w:r>
      <w:r>
        <w:t xml:space="preserve"> </w:t>
      </w:r>
      <w:r>
        <w:t xml:space="preserve">“Going Green: Optimizing GPUs for Energy Efficiency through Model-Steered Auto-Tuning,”</w:t>
      </w:r>
      <w:r>
        <w:t xml:space="preserve"> </w:t>
      </w:r>
      <w:r>
        <w:rPr>
          <w:i/>
          <w:iCs/>
        </w:rPr>
        <w:t xml:space="preserve">PMBS Workshop (SC22)</w:t>
      </w:r>
      <w:r>
        <w:t xml:space="preserve">, pp. 48–59, 2022. doi:10.1109/PMBS56514.2022.00010</w:t>
      </w:r>
    </w:p>
    <w:p>
      <w:pPr>
        <w:pStyle w:val="Bibliography"/>
      </w:pPr>
      <w:r>
        <w:t xml:space="preserve">[9] J. O. Tørring, B. van Werkhoven, F. Petrovič, F.-J. Willemsen, J. Filipovič, A. C. Elster,</w:t>
      </w:r>
      <w:r>
        <w:t xml:space="preserve"> </w:t>
      </w:r>
      <w:r>
        <w:t xml:space="preserve">“Towards a Benchmarking Suite for Kernel Tuners,”</w:t>
      </w:r>
      <w:r>
        <w:t xml:space="preserve"> </w:t>
      </w:r>
      <w:r>
        <w:rPr>
          <w:i/>
          <w:iCs/>
        </w:rPr>
        <w:t xml:space="preserve">IEEE IPDPSW</w:t>
      </w:r>
      <w:r>
        <w:t xml:space="preserve">, pp. 724–733, 2023. doi:10.1109/IPDPSW59300.2023.00124</w:t>
      </w:r>
    </w:p>
    <w:sectPr>
      <w:footnotePr>
        <w:numRestart w:val="eachSect"/>
      </w:footnotePr>
      <w:pgSz w:h="16838" w:w="11906"/>
      <w:pgMar w:top="964" w:bottom="964"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60" w:line="240" w:lineRule="auto"/>
    </w:pPr>
    <w:rPr>
      <w:rFonts w:ascii="Calibri" w:hAnsi="Calibri"/>
      <w:b w:val="0"/>
      <w:sz w:val="19"/>
    </w:rPr>
  </w:style>
  <w:style w:type="paragraph" w:styleId="BodyText">
    <w:name w:val="Body Text"/>
    <w:basedOn w:val="Normal"/>
    <w:link w:val="BodyTextChar"/>
    <w:qFormat/>
    <w:pPr>
      <w:spacing w:before="0" w:after="60" w:line="240" w:lineRule="auto"/>
      <w:jc w:val="both"/>
    </w:pPr>
    <w:rPr>
      <w:rFonts w:ascii="Calibri" w:hAnsi="Calibri"/>
      <w:b w:val="0"/>
      <w:sz w:val="19"/>
    </w:rPr>
  </w:style>
  <w:style w:type="paragraph" w:customStyle="1" w:styleId="FirstParagraph">
    <w:name w:val="First Paragraph"/>
    <w:basedOn w:val="BodyText"/>
    <w:next w:val="BodyText"/>
    <w:qFormat/>
    <w:pPr>
      <w:spacing w:before="0" w:after="60" w:line="240" w:lineRule="auto"/>
      <w:jc w:val="both"/>
    </w:pPr>
    <w:rPr>
      <w:rFonts w:ascii="Calibri" w:hAnsi="Calibri"/>
      <w:b w:val="0"/>
      <w:sz w:val="19"/>
    </w:rPr>
  </w:style>
  <w:style w:type="paragraph" w:customStyle="1" w:styleId="Compact">
    <w:name w:val="Compact"/>
    <w:basedOn w:val="BodyText"/>
    <w:qFormat/>
    <w:pPr>
      <w:spacing w:before="0" w:after="60" w:line="240" w:lineRule="auto"/>
    </w:pPr>
    <w:rPr>
      <w:rFonts w:ascii="Calibri" w:hAnsi="Calibri"/>
      <w:b w:val="0"/>
      <w:sz w:val="18"/>
    </w:rPr>
  </w:style>
  <w:style w:type="paragraph" w:styleId="Title">
    <w:name w:val="Title"/>
    <w:basedOn w:val="Normal"/>
    <w:next w:val="BodyText"/>
    <w:link w:val="TitleChar"/>
    <w:uiPriority w:val="10"/>
    <w:qFormat/>
    <w:rsid w:val="00A10FD9"/>
    <w:pPr>
      <w:spacing w:after="60" w:line="240" w:lineRule="auto" w:before="0"/>
      <w:contextualSpacing/>
      <w:jc w:val="center"/>
    </w:pPr>
    <w:rPr>
      <w:rFonts w:asciiTheme="majorHAnsi" w:eastAsiaTheme="majorEastAsia" w:hAnsiTheme="majorHAnsi" w:cstheme="majorBidi" w:ascii="Calibri" w:hAnsi="Calibri"/>
      <w:b/>
      <w:color w:val="0B0B0B"/>
      <w:sz w:val="2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before="0" w:after="60" w:line="240" w:lineRule="auto"/>
    </w:pPr>
    <w:rPr>
      <w:rFonts w:eastAsiaTheme="majorEastAsia" w:cstheme="majorBidi" w:ascii="Calibri" w:hAnsi="Calibri"/>
      <w:b w:val="0"/>
      <w:spacing w:val="15"/>
      <w:sz w:val="2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before="0" w:after="60" w:line="240" w:lineRule="auto"/>
    </w:pPr>
    <w:rPr>
      <w:rFonts w:ascii="Calibri" w:hAnsi="Calibri"/>
      <w:b w:val="0"/>
      <w:sz w:val="19"/>
      <w:szCs w:val="24"/>
    </w:rPr>
  </w:style>
  <w:style w:type="paragraph" w:styleId="Date">
    <w:name w:val="Date"/>
    <w:basedOn w:val="Title"/>
    <w:next w:val="BodyText"/>
    <w:qFormat/>
    <w:pPr>
      <w:keepNext/>
      <w:keepLines/>
      <w:spacing w:before="0" w:after="60" w:line="240" w:lineRule="auto"/>
    </w:pPr>
    <w:rPr>
      <w:rFonts w:ascii="Calibri" w:hAnsi="Calibri"/>
      <w:b w:val="0"/>
      <w:sz w:val="18"/>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spacing w:before="0" w:after="60" w:line="240" w:lineRule="auto"/>
    </w:pPr>
    <w:rPr>
      <w:rFonts w:ascii="Calibri" w:hAnsi="Calibri"/>
      <w:b w:val="0"/>
      <w:sz w:val="15"/>
    </w:rPr>
  </w:style>
  <w:style w:type="paragraph" w:styleId="Heading1">
    <w:name w:val="heading 1"/>
    <w:basedOn w:val="Normal"/>
    <w:next w:val="BodyText"/>
    <w:link w:val="Heading1Char"/>
    <w:uiPriority w:val="9"/>
    <w:qFormat/>
    <w:rsid w:val="00A10FD9"/>
    <w:pPr>
      <w:keepNext/>
      <w:keepLines/>
      <w:spacing w:before="120" w:after="40" w:line="240" w:lineRule="auto"/>
      <w:outlineLvl w:val="0"/>
    </w:pPr>
    <w:rPr>
      <w:rFonts w:asciiTheme="majorHAnsi" w:eastAsiaTheme="majorEastAsia" w:hAnsiTheme="majorHAnsi" w:cstheme="majorBidi" w:ascii="Calibri" w:hAnsi="Calibri"/>
      <w:b/>
      <w:color w:val="0B0B0B"/>
      <w:sz w:val="22"/>
      <w:szCs w:val="40"/>
    </w:rPr>
  </w:style>
  <w:style w:type="paragraph" w:styleId="Heading2">
    <w:name w:val="heading 2"/>
    <w:basedOn w:val="Normal"/>
    <w:next w:val="BodyText"/>
    <w:link w:val="Heading2Char"/>
    <w:uiPriority w:val="9"/>
    <w:semiHidden/>
    <w:unhideWhenUsed/>
    <w:qFormat/>
    <w:rsid w:val="00A10FD9"/>
    <w:pPr>
      <w:keepNext/>
      <w:keepLines/>
      <w:spacing w:before="120" w:after="40" w:line="240" w:lineRule="auto"/>
      <w:outlineLvl w:val="1"/>
    </w:pPr>
    <w:rPr>
      <w:rFonts w:asciiTheme="majorHAnsi" w:eastAsiaTheme="majorEastAsia" w:hAnsiTheme="majorHAnsi" w:cstheme="majorBidi" w:ascii="Calibri" w:hAnsi="Calibri"/>
      <w:b/>
      <w:color w:val="0B0B0B"/>
      <w:sz w:val="20"/>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60" w:line="240" w:lineRule="auto"/>
    </w:pPr>
    <w:rPr>
      <w:rFonts w:ascii="Calibri" w:hAnsi="Calibri"/>
      <w:b w:val="0"/>
      <w:i/>
      <w:sz w:val="16"/>
    </w:rPr>
  </w:style>
  <w:style w:type="paragraph" w:customStyle="1" w:styleId="TableCaption">
    <w:name w:val="Table Caption"/>
    <w:basedOn w:val="Caption"/>
    <w:pPr>
      <w:keepNext/>
      <w:spacing w:before="0" w:after="60" w:line="240" w:lineRule="auto"/>
    </w:pPr>
    <w:rPr>
      <w:rFonts w:ascii="Calibri" w:hAnsi="Calibri"/>
      <w:b w:val="0"/>
      <w:sz w:val="16"/>
    </w:rPr>
  </w:style>
  <w:style w:type="paragraph" w:customStyle="1" w:styleId="ImageCaption">
    <w:name w:val="Image Caption"/>
    <w:basedOn w:val="Caption"/>
    <w:pPr>
      <w:spacing w:before="0" w:after="60" w:line="240" w:lineRule="auto"/>
    </w:pPr>
    <w:rPr>
      <w:rFonts w:ascii="Calibri" w:hAnsi="Calibri"/>
      <w:b w:val="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b w:val="0"/>
      <w:sz w:val="15"/>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5" Type="http://schemas.openxmlformats.org/officeDocument/2006/relationships/image" Target="media/rId15.png"/><Relationship Id="rId18" Type="http://schemas.openxmlformats.org/officeDocument/2006/relationships/image" Target="media/rId18.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S02 — CUDA Thread-Block Configuration: Which Launch Shape Is Robust Across Workload Sizes?</dc:title>
  <dc:creator/>
  <cp:keywords/>
  <dcterms:created xsi:type="dcterms:W3CDTF">2026-10-19T09:14:44Z</dcterms:created>
  <dcterms:modified xsi:type="dcterms:W3CDTF">2026-10-19T09:14:44Z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Individual technical note · Ajinkya Phatak · Reg. No. 23BCE0643</vt:lpwstr>
  </property>
</Properties>
</file>