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X PROPELLER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14812.0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1085.0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389.0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65627.0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0.285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Seventy-Seven Thousand, Four Hundred And Forty Point One Four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77440.14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Jainn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customer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8924756456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1253233446532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12R15GHY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8976756456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12532346346532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2021-02-05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HYD8 - Hyderabad, Telangana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