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8DD70"/>
    <w:p w14:paraId="278C3BFF"/>
    <w:p w14:paraId="07E63673"/>
    <w:p w14:paraId="357F64DA"/>
    <w:p w14:paraId="08567A38"/>
    <w:p w14:paraId="44EAB43D">
      <w:pPr>
        <w:pBdr>
          <w:bottom w:val="single" w:color="2E86C1" w:sz="6" w:space="1"/>
        </w:pBdr>
        <w:jc w:val="center"/>
      </w:pPr>
    </w:p>
    <w:p w14:paraId="3BD032E6">
      <w:pPr>
        <w:spacing w:before="240"/>
        <w:jc w:val="center"/>
      </w:pPr>
      <w:r>
        <w:rPr>
          <w:b/>
          <w:color w:val="1A2E4A"/>
          <w:sz w:val="60"/>
        </w:rPr>
        <w:t>Laptop Price Prediction Analysis</w:t>
      </w:r>
    </w:p>
    <w:p w14:paraId="44B95B44">
      <w:pPr>
        <w:jc w:val="center"/>
      </w:pPr>
      <w:r>
        <w:rPr>
          <w:color w:val="666666"/>
          <w:sz w:val="28"/>
        </w:rPr>
        <w:t>A Multiple Linear Regression Approach to Predicting</w:t>
      </w:r>
      <w:r>
        <w:rPr>
          <w:color w:val="666666"/>
          <w:sz w:val="28"/>
        </w:rPr>
        <w:br w:type="textWrapping"/>
      </w:r>
      <w:r>
        <w:rPr>
          <w:color w:val="666666"/>
          <w:sz w:val="28"/>
        </w:rPr>
        <w:t>Laptop Prices from Technical Specifications</w:t>
      </w:r>
    </w:p>
    <w:p w14:paraId="528F13AA">
      <w:pPr>
        <w:pBdr>
          <w:bottom w:val="single" w:color="2E86C1" w:sz="6" w:space="1"/>
        </w:pBdr>
        <w:jc w:val="center"/>
      </w:pPr>
    </w:p>
    <w:p w14:paraId="116D2094"/>
    <w:p w14:paraId="68C85B31">
      <w:pPr>
        <w:jc w:val="center"/>
      </w:pPr>
      <w:r>
        <w:rPr>
          <w:color w:val="2C3E6B"/>
          <w:sz w:val="24"/>
        </w:rPr>
        <w:t>February 2026</w:t>
      </w:r>
    </w:p>
    <w:p w14:paraId="460DF62C"/>
    <w:p w14:paraId="3941FE85">
      <w:pPr>
        <w:jc w:val="center"/>
      </w:pPr>
      <w:r>
        <w:rPr>
          <w:i/>
          <w:color w:val="2E86C1"/>
          <w:sz w:val="20"/>
        </w:rPr>
        <w:t>Data-Driven Insights  |  Statistical Validation  |  Actionable Intelligence</w:t>
      </w:r>
    </w:p>
    <w:p w14:paraId="69F2F312"/>
    <w:p w14:paraId="61D435AF">
      <w:pPr>
        <w:spacing w:before="160" w:after="40"/>
        <w:jc w:val="center"/>
      </w:pPr>
      <w:r>
        <w:drawing>
          <wp:inline distT="0" distB="0" distL="114300" distR="114300">
            <wp:extent cx="3657600" cy="2058670"/>
            <wp:effectExtent l="0" t="0" r="0"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657600" cy="2059229"/>
                    </a:xfrm>
                    <a:prstGeom prst="rect">
                      <a:avLst/>
                    </a:prstGeom>
                  </pic:spPr>
                </pic:pic>
              </a:graphicData>
            </a:graphic>
          </wp:inline>
        </w:drawing>
      </w:r>
    </w:p>
    <w:p w14:paraId="021A337D">
      <w:r>
        <w:br w:type="page"/>
      </w:r>
    </w:p>
    <w:p w14:paraId="17D77031">
      <w:pPr>
        <w:pStyle w:val="2"/>
      </w:pPr>
      <w:r>
        <w:t>Table of Contents</w:t>
      </w:r>
    </w:p>
    <w:p w14:paraId="19E921F8">
      <w:pPr>
        <w:pBdr>
          <w:bottom w:val="single" w:color="2E86C1" w:sz="6" w:space="1"/>
        </w:pBdr>
        <w:jc w:val="center"/>
      </w:pPr>
    </w:p>
    <w:p w14:paraId="07EB3E48"/>
    <w:p w14:paraId="257E364B">
      <w:pPr>
        <w:spacing w:after="60"/>
      </w:pPr>
      <w:r>
        <w:rPr>
          <w:b/>
          <w:color w:val="2E86C1"/>
        </w:rPr>
        <w:t xml:space="preserve">1.  </w:t>
      </w:r>
      <w:r>
        <w:rPr>
          <w:sz w:val="22"/>
        </w:rPr>
        <w:t>Executive Summary</w:t>
      </w:r>
    </w:p>
    <w:p w14:paraId="02D78473">
      <w:pPr>
        <w:spacing w:after="60"/>
      </w:pPr>
      <w:r>
        <w:rPr>
          <w:b/>
          <w:color w:val="2E86C1"/>
        </w:rPr>
        <w:t xml:space="preserve">2.  </w:t>
      </w:r>
      <w:r>
        <w:rPr>
          <w:sz w:val="22"/>
        </w:rPr>
        <w:t>Research Questions &amp; Hypotheses</w:t>
      </w:r>
    </w:p>
    <w:p w14:paraId="6F5FBB23">
      <w:pPr>
        <w:spacing w:after="60"/>
      </w:pPr>
      <w:r>
        <w:rPr>
          <w:b/>
          <w:color w:val="2E86C1"/>
        </w:rPr>
        <w:t xml:space="preserve">3.  </w:t>
      </w:r>
      <w:r>
        <w:rPr>
          <w:sz w:val="22"/>
        </w:rPr>
        <w:t>Data Source &amp; Preprocessing</w:t>
      </w:r>
    </w:p>
    <w:p w14:paraId="2B1F25C3">
      <w:pPr>
        <w:spacing w:after="60"/>
      </w:pPr>
      <w:r>
        <w:rPr>
          <w:b/>
          <w:color w:val="2E86C1"/>
        </w:rPr>
        <w:t xml:space="preserve">4.  </w:t>
      </w:r>
      <w:r>
        <w:rPr>
          <w:sz w:val="22"/>
        </w:rPr>
        <w:t>Exploratory Data Analysis</w:t>
      </w:r>
    </w:p>
    <w:p w14:paraId="6E9311B9">
      <w:pPr>
        <w:spacing w:after="60"/>
      </w:pPr>
      <w:r>
        <w:rPr>
          <w:b/>
          <w:color w:val="2E86C1"/>
        </w:rPr>
        <w:t xml:space="preserve">5.  </w:t>
      </w:r>
      <w:r>
        <w:rPr>
          <w:sz w:val="22"/>
        </w:rPr>
        <w:t>Feature Engineering</w:t>
      </w:r>
    </w:p>
    <w:p w14:paraId="01881DCC">
      <w:pPr>
        <w:spacing w:after="60"/>
      </w:pPr>
      <w:r>
        <w:rPr>
          <w:b/>
          <w:color w:val="2E86C1"/>
        </w:rPr>
        <w:t xml:space="preserve">6.  </w:t>
      </w:r>
      <w:r>
        <w:rPr>
          <w:sz w:val="22"/>
        </w:rPr>
        <w:t>Model Implementation</w:t>
      </w:r>
    </w:p>
    <w:p w14:paraId="35DE3FF0">
      <w:pPr>
        <w:spacing w:after="60"/>
      </w:pPr>
      <w:r>
        <w:rPr>
          <w:b/>
          <w:color w:val="2E86C1"/>
        </w:rPr>
        <w:t xml:space="preserve">7.  </w:t>
      </w:r>
      <w:r>
        <w:rPr>
          <w:sz w:val="22"/>
        </w:rPr>
        <w:t>Results &amp; Performance Metrics</w:t>
      </w:r>
    </w:p>
    <w:p w14:paraId="6D0B0036">
      <w:pPr>
        <w:spacing w:after="60"/>
      </w:pPr>
      <w:r>
        <w:rPr>
          <w:b/>
          <w:color w:val="2E86C1"/>
        </w:rPr>
        <w:t xml:space="preserve">8.  </w:t>
      </w:r>
      <w:r>
        <w:rPr>
          <w:sz w:val="22"/>
        </w:rPr>
        <w:t>Model Diagnostics</w:t>
      </w:r>
    </w:p>
    <w:p w14:paraId="55CE0E52">
      <w:pPr>
        <w:spacing w:after="60"/>
      </w:pPr>
      <w:r>
        <w:rPr>
          <w:b/>
          <w:color w:val="2E86C1"/>
        </w:rPr>
        <w:t xml:space="preserve">9.  </w:t>
      </w:r>
      <w:r>
        <w:rPr>
          <w:sz w:val="22"/>
        </w:rPr>
        <w:t>OLS Statistical Validation</w:t>
      </w:r>
    </w:p>
    <w:p w14:paraId="208B7074">
      <w:pPr>
        <w:spacing w:after="60"/>
      </w:pPr>
      <w:r>
        <w:rPr>
          <w:b/>
          <w:color w:val="2E86C1"/>
        </w:rPr>
        <w:t xml:space="preserve">10.  </w:t>
      </w:r>
      <w:r>
        <w:rPr>
          <w:sz w:val="22"/>
        </w:rPr>
        <w:t>Discussion &amp; Interpretation</w:t>
      </w:r>
    </w:p>
    <w:p w14:paraId="3E8025FA">
      <w:pPr>
        <w:spacing w:after="60"/>
      </w:pPr>
      <w:r>
        <w:rPr>
          <w:b/>
          <w:color w:val="2E86C1"/>
        </w:rPr>
        <w:t xml:space="preserve">11.  </w:t>
      </w:r>
      <w:r>
        <w:rPr>
          <w:sz w:val="22"/>
        </w:rPr>
        <w:t>Conclusion</w:t>
      </w:r>
    </w:p>
    <w:p w14:paraId="127FB3B0">
      <w:pPr>
        <w:spacing w:after="60"/>
      </w:pPr>
      <w:r>
        <w:rPr>
          <w:b/>
          <w:color w:val="2E86C1"/>
        </w:rPr>
        <w:t xml:space="preserve">12.  </w:t>
      </w:r>
      <w:r>
        <w:rPr>
          <w:sz w:val="22"/>
        </w:rPr>
        <w:t>Appendix — Figure Index</w:t>
      </w:r>
    </w:p>
    <w:p w14:paraId="7DB2FC22">
      <w:r>
        <w:br w:type="page"/>
      </w:r>
    </w:p>
    <w:p w14:paraId="0FCA5BE1">
      <w:pPr>
        <w:pStyle w:val="2"/>
      </w:pPr>
      <w:r>
        <w:t>1. Executive Summary</w:t>
      </w:r>
    </w:p>
    <w:p w14:paraId="063955CB">
      <w:pPr>
        <w:pBdr>
          <w:bottom w:val="single" w:color="2E86C1" w:sz="6" w:space="1"/>
        </w:pBdr>
        <w:jc w:val="center"/>
      </w:pPr>
    </w:p>
    <w:p w14:paraId="76FEC51B">
      <w:r>
        <w:t>This report presents a comprehensive, data-driven analysis of laptop pricing using a dataset of 1,303 laptop records. Spanning multiple manufacturers, form factors, and hardware configurations, the study investigates whether technical specifications — RAM, CPU, GPU, display resolution, and weight — can reliably predict market price.</w:t>
      </w:r>
    </w:p>
    <w:p w14:paraId="060B7802">
      <w:r>
        <w:t>A Multiple Linear Regression model was trained on carefully preprocessed and feature-engineered data. The model achieved an R-squared of 0.8152 on the held-out test set (RMSE = 17,795 INR, MAE = 11,232 INR), meaning it explains over 81% of the variance in laptop prices.</w:t>
      </w:r>
    </w:p>
    <w:p w14:paraId="1E103F5B">
      <w:r>
        <w:t>OLS-based statistical validation confirmed that key predictors — RAM, resolution, brand, and processor family — are highly significant (p &lt; 0.001), providing strong evidence to reject the null hypothesis that laptop specifications do not explain price variation.</w:t>
      </w:r>
    </w:p>
    <w:tbl>
      <w:tblPr>
        <w:tblStyle w:val="12"/>
        <w:tblW w:w="0" w:type="auto"/>
        <w:jc w:val="center"/>
        <w:tblLayout w:type="autofit"/>
        <w:tblCellMar>
          <w:top w:w="0" w:type="dxa"/>
          <w:left w:w="108" w:type="dxa"/>
          <w:bottom w:w="0" w:type="dxa"/>
          <w:right w:w="108" w:type="dxa"/>
        </w:tblCellMar>
      </w:tblPr>
      <w:tblGrid>
        <w:gridCol w:w="8640"/>
      </w:tblGrid>
      <w:tr w14:paraId="4992B488">
        <w:trPr>
          <w:jc w:val="center"/>
        </w:trPr>
        <w:tc>
          <w:tcPr>
            <w:tcW w:w="8640" w:type="dxa"/>
            <w:tcBorders>
              <w:top w:val="nil"/>
              <w:left w:val="single" w:color="2E86C1" w:sz="24" w:space="0"/>
              <w:bottom w:val="nil"/>
              <w:right w:val="nil"/>
            </w:tcBorders>
            <w:shd w:val="clear" w:color="auto" w:fill="E8F8E8"/>
          </w:tcPr>
          <w:p w14:paraId="7B476BA1">
            <w:r>
              <w:rPr>
                <w:b/>
                <w:color w:val="2C3E6B"/>
                <w:sz w:val="20"/>
              </w:rPr>
              <w:t>Key Finding</w:t>
            </w:r>
          </w:p>
          <w:p w14:paraId="40B20B12">
            <w:pPr>
              <w:spacing w:after="80"/>
            </w:pPr>
            <w:r>
              <w:rPr>
                <w:color w:val="333333"/>
                <w:sz w:val="20"/>
              </w:rPr>
              <w:t>The model captures the dominant pricing drivers in the laptop market. RAM alone explains 55% of the predicted price variation, followed by display resolution and brand. These findings can directly support B2B pricing strategies, quote generation, and competitive benchmarking.</w:t>
            </w:r>
          </w:p>
        </w:tc>
      </w:tr>
    </w:tbl>
    <w:p w14:paraId="2D086D9E"/>
    <w:p w14:paraId="0FD6E038">
      <w:r>
        <w:br w:type="page"/>
      </w:r>
    </w:p>
    <w:p w14:paraId="4479E08B">
      <w:pPr>
        <w:pStyle w:val="2"/>
      </w:pPr>
      <w:r>
        <w:t>2. Research Questions &amp; Hypotheses</w:t>
      </w:r>
    </w:p>
    <w:p w14:paraId="22FF2875">
      <w:pPr>
        <w:pBdr>
          <w:bottom w:val="single" w:color="2E86C1" w:sz="6" w:space="1"/>
        </w:pBdr>
        <w:jc w:val="center"/>
      </w:pPr>
    </w:p>
    <w:p w14:paraId="7B635F6F">
      <w:pPr>
        <w:pStyle w:val="3"/>
      </w:pPr>
      <w:r>
        <w:t>2.1 Research Questions</w:t>
      </w:r>
    </w:p>
    <w:p w14:paraId="51255E7B">
      <w:pPr>
        <w:pStyle w:val="23"/>
      </w:pPr>
      <w:r>
        <w:rPr>
          <w:b/>
          <w:color w:val="2C3E6B"/>
        </w:rPr>
        <w:t>RQ1:</w:t>
      </w:r>
      <w:r>
        <w:t xml:space="preserve">  Which laptop specifications (RAM, CPU family, storage, screen resolution, GPU) have the strongest relationship with price?</w:t>
      </w:r>
    </w:p>
    <w:p w14:paraId="3F26F9D6">
      <w:pPr>
        <w:pStyle w:val="23"/>
      </w:pPr>
      <w:r>
        <w:rPr>
          <w:b/>
          <w:color w:val="2C3E6B"/>
        </w:rPr>
        <w:t>RQ2:</w:t>
      </w:r>
      <w:r>
        <w:t xml:space="preserve">  Can a Multiple Linear Regression model provide reliable price estimates from available technical features?</w:t>
      </w:r>
    </w:p>
    <w:p w14:paraId="680BDDE7">
      <w:pPr>
        <w:pStyle w:val="23"/>
      </w:pPr>
      <w:r>
        <w:rPr>
          <w:b/>
          <w:color w:val="2C3E6B"/>
        </w:rPr>
        <w:t>RQ3:</w:t>
      </w:r>
      <w:r>
        <w:t xml:space="preserve">  How well does the model generalise to unseen laptop records not used during training?</w:t>
      </w:r>
    </w:p>
    <w:p w14:paraId="67CEBA8F">
      <w:pPr>
        <w:pStyle w:val="3"/>
      </w:pPr>
      <w:r>
        <w:t>2.2 Hypotheses</w:t>
      </w:r>
    </w:p>
    <w:p w14:paraId="65BB4439">
      <w:r>
        <w:rPr>
          <w:b/>
          <w:color w:val="2C3E6B"/>
        </w:rPr>
        <w:t xml:space="preserve">H0 (Null): </w:t>
      </w:r>
      <w:r>
        <w:t>Laptop specifications do not significantly explain variations in laptop price.</w:t>
      </w:r>
    </w:p>
    <w:p w14:paraId="5CD488CF">
      <w:r>
        <w:rPr>
          <w:b/>
          <w:color w:val="2C3E6B"/>
        </w:rPr>
        <w:t xml:space="preserve">H1 (Alternative): </w:t>
      </w:r>
      <w:r>
        <w:t>Laptop specifications significantly explain variations in laptop price.</w:t>
      </w:r>
    </w:p>
    <w:tbl>
      <w:tblPr>
        <w:tblStyle w:val="12"/>
        <w:tblW w:w="0" w:type="auto"/>
        <w:jc w:val="center"/>
        <w:tblLayout w:type="autofit"/>
        <w:tblCellMar>
          <w:top w:w="0" w:type="dxa"/>
          <w:left w:w="108" w:type="dxa"/>
          <w:bottom w:w="0" w:type="dxa"/>
          <w:right w:w="108" w:type="dxa"/>
        </w:tblCellMar>
      </w:tblPr>
      <w:tblGrid>
        <w:gridCol w:w="8640"/>
      </w:tblGrid>
      <w:tr w14:paraId="07BB6D7F">
        <w:trPr>
          <w:jc w:val="center"/>
        </w:trPr>
        <w:tc>
          <w:tcPr>
            <w:tcW w:w="8640" w:type="dxa"/>
            <w:tcBorders>
              <w:top w:val="nil"/>
              <w:left w:val="single" w:color="2E86C1" w:sz="24" w:space="0"/>
              <w:bottom w:val="nil"/>
              <w:right w:val="nil"/>
            </w:tcBorders>
            <w:shd w:val="clear" w:color="auto" w:fill="E8F4FD"/>
          </w:tcPr>
          <w:p w14:paraId="14388029">
            <w:r>
              <w:rPr>
                <w:b/>
                <w:color w:val="2C3E6B"/>
                <w:sz w:val="20"/>
              </w:rPr>
              <w:t>Interpretation</w:t>
            </w:r>
          </w:p>
          <w:p w14:paraId="52477C2A">
            <w:pPr>
              <w:spacing w:after="80"/>
            </w:pPr>
            <w:r>
              <w:rPr>
                <w:color w:val="333333"/>
                <w:sz w:val="20"/>
              </w:rPr>
              <w:t>The hypothesis framework is designed as a two-tailed test: if the F-statistic from the OLS regression is significant (p ~ 0) and key predictor p-values fall below 0.001, we reject H0. This provides a rigorous statistical foundation beyond purely predictive metrics like R-squared.</w:t>
            </w:r>
          </w:p>
        </w:tc>
      </w:tr>
    </w:tbl>
    <w:p w14:paraId="7FD8B29A"/>
    <w:p w14:paraId="79A97D05">
      <w:r>
        <w:br w:type="page"/>
      </w:r>
    </w:p>
    <w:p w14:paraId="4531A3FD">
      <w:pPr>
        <w:pStyle w:val="2"/>
      </w:pPr>
      <w:r>
        <w:t>3. Data Source &amp; Preprocessing</w:t>
      </w:r>
    </w:p>
    <w:p w14:paraId="133346C2">
      <w:pPr>
        <w:pBdr>
          <w:bottom w:val="single" w:color="2E86C1" w:sz="6" w:space="1"/>
        </w:pBdr>
        <w:jc w:val="center"/>
      </w:pPr>
    </w:p>
    <w:p w14:paraId="09933A52">
      <w:pPr>
        <w:pStyle w:val="3"/>
      </w:pPr>
      <w:r>
        <w:t>3.1 Raw Dataset Overview</w:t>
      </w:r>
    </w:p>
    <w:p w14:paraId="2AC5B75B">
      <w:r>
        <w:t>The raw dataset (laptop_data.csv) contains 1,303 records and 12 columns encompassing manufacturer, form factor, display specifications, CPU, RAM, storage, GPU, operating system, weight, and price. Initial inspection confirmed zero missing values, zero duplicates, and consistent data types across all rows.</w:t>
      </w:r>
    </w:p>
    <w:tbl>
      <w:tblPr>
        <w:tblStyle w:val="12"/>
        <w:tblW w:w="0" w:type="auto"/>
        <w:jc w:val="center"/>
        <w:tblLayout w:type="autofit"/>
        <w:tblCellMar>
          <w:top w:w="0" w:type="dxa"/>
          <w:left w:w="108" w:type="dxa"/>
          <w:bottom w:w="0" w:type="dxa"/>
          <w:right w:w="108" w:type="dxa"/>
        </w:tblCellMar>
      </w:tblPr>
      <w:tblGrid>
        <w:gridCol w:w="8640"/>
      </w:tblGrid>
      <w:tr w14:paraId="606D31A2">
        <w:trPr>
          <w:jc w:val="center"/>
        </w:trPr>
        <w:tc>
          <w:tcPr>
            <w:tcW w:w="8640" w:type="dxa"/>
            <w:tcBorders>
              <w:top w:val="nil"/>
              <w:left w:val="single" w:color="2E86C1" w:sz="24" w:space="0"/>
              <w:bottom w:val="nil"/>
              <w:right w:val="nil"/>
            </w:tcBorders>
            <w:shd w:val="clear" w:color="auto" w:fill="E8F4FD"/>
          </w:tcPr>
          <w:p w14:paraId="5AF3C16E">
            <w:r>
              <w:rPr>
                <w:b/>
                <w:color w:val="2C3E6B"/>
                <w:sz w:val="20"/>
              </w:rPr>
              <w:t>Comment</w:t>
            </w:r>
          </w:p>
          <w:p w14:paraId="69DE7F78">
            <w:pPr>
              <w:spacing w:after="80"/>
            </w:pPr>
            <w:r>
              <w:rPr>
                <w:color w:val="333333"/>
                <w:sz w:val="20"/>
              </w:rPr>
              <w:t>Having no missing values is unusual for a real-world dataset of this size. This suggests the data was curated or scraped from a structured source (likely an e-commerce platform) where listings are required to fill all specification fields. While this simplifies preprocessing, it also means we should be cautious about generalising to messier datasets.</w:t>
            </w:r>
          </w:p>
        </w:tc>
      </w:tr>
    </w:tbl>
    <w:p w14:paraId="28C50B1E"/>
    <w:p w14:paraId="146328A9">
      <w:pPr>
        <w:pStyle w:val="3"/>
      </w:pPr>
      <w:r>
        <w:t>3.2 Cleaning Steps</w:t>
      </w:r>
    </w:p>
    <w:p w14:paraId="57E7E940">
      <w:pPr>
        <w:pStyle w:val="23"/>
      </w:pPr>
      <w:r>
        <w:rPr>
          <w:b/>
          <w:color w:val="2C3E6B"/>
        </w:rPr>
        <w:t>Step 1:</w:t>
      </w:r>
      <w:r>
        <w:t xml:space="preserve">  Removed the auto-generated index column ('Unnamed: 0') — not a real feature.</w:t>
      </w:r>
    </w:p>
    <w:p w14:paraId="51FAA042">
      <w:pPr>
        <w:pStyle w:val="23"/>
      </w:pPr>
      <w:r>
        <w:rPr>
          <w:b/>
          <w:color w:val="2C3E6B"/>
        </w:rPr>
        <w:t>Step 2:</w:t>
      </w:r>
      <w:r>
        <w:t xml:space="preserve">  Stripped unit suffixes: 'GB' from RAM and 'kg' from Weight to enable numeric operations.</w:t>
      </w:r>
    </w:p>
    <w:p w14:paraId="662CFC55">
      <w:pPr>
        <w:pStyle w:val="23"/>
      </w:pPr>
      <w:r>
        <w:rPr>
          <w:b/>
          <w:color w:val="2C3E6B"/>
        </w:rPr>
        <w:t>Step 3:</w:t>
      </w:r>
      <w:r>
        <w:t xml:space="preserve">  Converted RAM to int32 and Weight to float32 for memory-efficient computation.</w:t>
      </w:r>
    </w:p>
    <w:p w14:paraId="13383211">
      <w:pPr>
        <w:pStyle w:val="23"/>
      </w:pPr>
      <w:r>
        <w:rPr>
          <w:b/>
          <w:color w:val="2C3E6B"/>
        </w:rPr>
        <w:t>Step 4:</w:t>
      </w:r>
      <w:r>
        <w:t xml:space="preserve">  Exported the cleaned dataset as cleaned_laptop_data.csv for all downstream analyses.</w:t>
      </w:r>
    </w:p>
    <w:tbl>
      <w:tblPr>
        <w:tblStyle w:val="12"/>
        <w:tblW w:w="0" w:type="auto"/>
        <w:jc w:val="center"/>
        <w:tblLayout w:type="autofit"/>
        <w:tblCellMar>
          <w:top w:w="0" w:type="dxa"/>
          <w:left w:w="108" w:type="dxa"/>
          <w:bottom w:w="0" w:type="dxa"/>
          <w:right w:w="108" w:type="dxa"/>
        </w:tblCellMar>
      </w:tblPr>
      <w:tblGrid>
        <w:gridCol w:w="8640"/>
      </w:tblGrid>
      <w:tr w14:paraId="339DFF03">
        <w:trPr>
          <w:jc w:val="center"/>
        </w:trPr>
        <w:tc>
          <w:tcPr>
            <w:tcW w:w="8640" w:type="dxa"/>
            <w:tcBorders>
              <w:top w:val="nil"/>
              <w:left w:val="single" w:color="2E86C1" w:sz="24" w:space="0"/>
              <w:bottom w:val="nil"/>
              <w:right w:val="nil"/>
            </w:tcBorders>
            <w:shd w:val="clear" w:color="auto" w:fill="E8F4FD"/>
          </w:tcPr>
          <w:p w14:paraId="50301CB8">
            <w:r>
              <w:rPr>
                <w:b/>
                <w:color w:val="2C3E6B"/>
                <w:sz w:val="20"/>
              </w:rPr>
              <w:t>Comment</w:t>
            </w:r>
          </w:p>
          <w:p w14:paraId="514EFBCE">
            <w:pPr>
              <w:spacing w:after="80"/>
            </w:pPr>
            <w:r>
              <w:rPr>
                <w:color w:val="333333"/>
                <w:sz w:val="20"/>
              </w:rPr>
              <w:t>These cleaning steps are minimal but essential. The unit-stripping ensures that columns like RAM and Weight can be used directly in mathematical operations and correlation analyses. Preserving data types (int32, float32) rather than defaulting to float64 reduces memory usage by ~50% — a good practice for scalability.</w:t>
            </w:r>
          </w:p>
        </w:tc>
      </w:tr>
    </w:tbl>
    <w:p w14:paraId="1141E0E9"/>
    <w:p w14:paraId="3F216F85"/>
    <w:p w14:paraId="31E7D3DF"/>
    <w:p w14:paraId="3D19E034"/>
    <w:p w14:paraId="58ECC76B"/>
    <w:p w14:paraId="5E13C40F">
      <w:pPr>
        <w:pStyle w:val="3"/>
      </w:pPr>
      <w:r>
        <w:t>3.3 Dataset Shape After Cleaning</w:t>
      </w:r>
    </w:p>
    <w:tbl>
      <w:tblPr>
        <w:tblStyle w:val="12"/>
        <w:tblW w:w="0" w:type="auto"/>
        <w:jc w:val="center"/>
        <w:tblLayout w:type="autofit"/>
        <w:tblCellMar>
          <w:top w:w="0" w:type="dxa"/>
          <w:left w:w="108" w:type="dxa"/>
          <w:bottom w:w="0" w:type="dxa"/>
          <w:right w:w="108" w:type="dxa"/>
        </w:tblCellMar>
      </w:tblPr>
      <w:tblGrid>
        <w:gridCol w:w="4608"/>
        <w:gridCol w:w="3312"/>
      </w:tblGrid>
      <w:tr w14:paraId="1D10316B">
        <w:trPr>
          <w:jc w:val="center"/>
        </w:trPr>
        <w:tc>
          <w:tcPr>
            <w:tcW w:w="4608" w:type="dxa"/>
            <w:shd w:val="clear" w:color="auto" w:fill="1A2E4A"/>
          </w:tcPr>
          <w:p w14:paraId="67BEF498">
            <w:pPr>
              <w:jc w:val="center"/>
            </w:pPr>
            <w:r>
              <w:rPr>
                <w:b/>
                <w:color w:val="FFFFFF"/>
                <w:sz w:val="20"/>
              </w:rPr>
              <w:t>Metric</w:t>
            </w:r>
          </w:p>
        </w:tc>
        <w:tc>
          <w:tcPr>
            <w:tcW w:w="3312" w:type="dxa"/>
            <w:shd w:val="clear" w:color="auto" w:fill="1A2E4A"/>
          </w:tcPr>
          <w:p w14:paraId="51F4F32D">
            <w:pPr>
              <w:jc w:val="center"/>
            </w:pPr>
            <w:r>
              <w:rPr>
                <w:b/>
                <w:color w:val="FFFFFF"/>
                <w:sz w:val="20"/>
              </w:rPr>
              <w:t>Value</w:t>
            </w:r>
          </w:p>
        </w:tc>
      </w:tr>
      <w:tr w14:paraId="3E59F4D3">
        <w:trPr>
          <w:jc w:val="center"/>
        </w:trPr>
        <w:tc>
          <w:tcPr>
            <w:tcW w:w="4608" w:type="dxa"/>
            <w:shd w:val="clear" w:color="auto" w:fill="F0F4F8"/>
          </w:tcPr>
          <w:p w14:paraId="7DF99025">
            <w:pPr>
              <w:jc w:val="center"/>
            </w:pPr>
            <w:r>
              <w:rPr>
                <w:sz w:val="20"/>
              </w:rPr>
              <w:t>Records</w:t>
            </w:r>
          </w:p>
        </w:tc>
        <w:tc>
          <w:tcPr>
            <w:tcW w:w="3312" w:type="dxa"/>
            <w:shd w:val="clear" w:color="auto" w:fill="F0F4F8"/>
          </w:tcPr>
          <w:p w14:paraId="56084964">
            <w:pPr>
              <w:jc w:val="center"/>
            </w:pPr>
            <w:r>
              <w:rPr>
                <w:sz w:val="20"/>
              </w:rPr>
              <w:t>1,303</w:t>
            </w:r>
          </w:p>
        </w:tc>
      </w:tr>
      <w:tr w14:paraId="6741FBE9">
        <w:trPr>
          <w:jc w:val="center"/>
        </w:trPr>
        <w:tc>
          <w:tcPr>
            <w:tcW w:w="4608" w:type="dxa"/>
          </w:tcPr>
          <w:p w14:paraId="12BA80EA">
            <w:pPr>
              <w:jc w:val="center"/>
            </w:pPr>
            <w:r>
              <w:rPr>
                <w:sz w:val="20"/>
              </w:rPr>
              <w:t>Features (columns)</w:t>
            </w:r>
          </w:p>
        </w:tc>
        <w:tc>
          <w:tcPr>
            <w:tcW w:w="3312" w:type="dxa"/>
          </w:tcPr>
          <w:p w14:paraId="16DCCCA8">
            <w:pPr>
              <w:jc w:val="center"/>
            </w:pPr>
            <w:r>
              <w:rPr>
                <w:sz w:val="20"/>
              </w:rPr>
              <w:t>11</w:t>
            </w:r>
          </w:p>
        </w:tc>
      </w:tr>
      <w:tr w14:paraId="30767F51">
        <w:trPr>
          <w:jc w:val="center"/>
        </w:trPr>
        <w:tc>
          <w:tcPr>
            <w:tcW w:w="4608" w:type="dxa"/>
            <w:shd w:val="clear" w:color="auto" w:fill="F0F4F8"/>
          </w:tcPr>
          <w:p w14:paraId="7A9964A2">
            <w:pPr>
              <w:jc w:val="center"/>
            </w:pPr>
            <w:r>
              <w:rPr>
                <w:sz w:val="20"/>
              </w:rPr>
              <w:t>Missing values</w:t>
            </w:r>
          </w:p>
        </w:tc>
        <w:tc>
          <w:tcPr>
            <w:tcW w:w="3312" w:type="dxa"/>
            <w:shd w:val="clear" w:color="auto" w:fill="F0F4F8"/>
          </w:tcPr>
          <w:p w14:paraId="27772D28">
            <w:pPr>
              <w:jc w:val="center"/>
            </w:pPr>
            <w:r>
              <w:rPr>
                <w:sz w:val="20"/>
              </w:rPr>
              <w:t>0</w:t>
            </w:r>
          </w:p>
        </w:tc>
      </w:tr>
      <w:tr w14:paraId="3D7FDEC9">
        <w:trPr>
          <w:jc w:val="center"/>
        </w:trPr>
        <w:tc>
          <w:tcPr>
            <w:tcW w:w="4608" w:type="dxa"/>
          </w:tcPr>
          <w:p w14:paraId="6462D667">
            <w:pPr>
              <w:jc w:val="center"/>
            </w:pPr>
            <w:r>
              <w:rPr>
                <w:sz w:val="20"/>
              </w:rPr>
              <w:t>Duplicates</w:t>
            </w:r>
          </w:p>
        </w:tc>
        <w:tc>
          <w:tcPr>
            <w:tcW w:w="3312" w:type="dxa"/>
          </w:tcPr>
          <w:p w14:paraId="39D0E599">
            <w:pPr>
              <w:jc w:val="center"/>
            </w:pPr>
            <w:r>
              <w:rPr>
                <w:sz w:val="20"/>
              </w:rPr>
              <w:t>0</w:t>
            </w:r>
          </w:p>
        </w:tc>
      </w:tr>
      <w:tr w14:paraId="1ACC1930">
        <w:trPr>
          <w:jc w:val="center"/>
        </w:trPr>
        <w:tc>
          <w:tcPr>
            <w:tcW w:w="4608" w:type="dxa"/>
            <w:shd w:val="clear" w:color="auto" w:fill="F0F4F8"/>
          </w:tcPr>
          <w:p w14:paraId="7EC07670">
            <w:pPr>
              <w:jc w:val="center"/>
            </w:pPr>
            <w:r>
              <w:rPr>
                <w:sz w:val="20"/>
              </w:rPr>
              <w:t>Target variable</w:t>
            </w:r>
          </w:p>
        </w:tc>
        <w:tc>
          <w:tcPr>
            <w:tcW w:w="3312" w:type="dxa"/>
            <w:shd w:val="clear" w:color="auto" w:fill="F0F4F8"/>
          </w:tcPr>
          <w:p w14:paraId="4A92DBD3">
            <w:pPr>
              <w:jc w:val="center"/>
            </w:pPr>
            <w:r>
              <w:rPr>
                <w:sz w:val="20"/>
              </w:rPr>
              <w:t>Price (INR)</w:t>
            </w:r>
          </w:p>
        </w:tc>
      </w:tr>
    </w:tbl>
    <w:p w14:paraId="1A7EFF3A"/>
    <w:p w14:paraId="63ABEE16">
      <w:r>
        <w:br w:type="page"/>
      </w:r>
    </w:p>
    <w:p w14:paraId="58508819">
      <w:pPr>
        <w:pStyle w:val="2"/>
      </w:pPr>
      <w:r>
        <w:t>4. Exploratory Data Analysis</w:t>
      </w:r>
    </w:p>
    <w:p w14:paraId="581F7B66">
      <w:pPr>
        <w:pBdr>
          <w:bottom w:val="single" w:color="2E86C1" w:sz="6" w:space="1"/>
        </w:pBdr>
        <w:jc w:val="center"/>
      </w:pPr>
    </w:p>
    <w:p w14:paraId="4B236C17">
      <w:r>
        <w:t>The exploratory data analysis (EDA) phase uncovers patterns, distributions, and relationships within the dataset before formal modelling. Each visualisation is accompanied by an interpretation of what it reveals about the laptop pricing landscape.</w:t>
      </w:r>
    </w:p>
    <w:p w14:paraId="325B4C4B">
      <w:pPr>
        <w:pStyle w:val="3"/>
      </w:pPr>
      <w:r>
        <w:t>4.1 Price Distribution</w:t>
      </w:r>
    </w:p>
    <w:p w14:paraId="28831FA3">
      <w:r>
        <w:t>Understanding the target variable is the first step in any regression task. The histogram below reveals the frequency distribution of laptop prices across the entire dataset.</w:t>
      </w:r>
    </w:p>
    <w:p w14:paraId="52E6F51C">
      <w:pPr>
        <w:spacing w:before="160" w:after="40"/>
        <w:jc w:val="center"/>
      </w:pPr>
      <w:r>
        <w:drawing>
          <wp:inline distT="0" distB="0" distL="114300" distR="114300">
            <wp:extent cx="5029200" cy="2753360"/>
            <wp:effectExtent l="0" t="0" r="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753544"/>
                    </a:xfrm>
                    <a:prstGeom prst="rect">
                      <a:avLst/>
                    </a:prstGeom>
                  </pic:spPr>
                </pic:pic>
              </a:graphicData>
            </a:graphic>
          </wp:inline>
        </w:drawing>
      </w:r>
    </w:p>
    <w:p w14:paraId="490BCB4E">
      <w:pPr>
        <w:spacing w:after="200"/>
        <w:jc w:val="center"/>
      </w:pPr>
      <w:r>
        <w:rPr>
          <w:i/>
          <w:color w:val="666666"/>
          <w:sz w:val="18"/>
        </w:rPr>
        <w:t>Figure 1 — Distribution of Laptop Prices (Histogram)</w:t>
      </w:r>
    </w:p>
    <w:tbl>
      <w:tblPr>
        <w:tblStyle w:val="12"/>
        <w:tblW w:w="0" w:type="auto"/>
        <w:jc w:val="center"/>
        <w:tblLayout w:type="autofit"/>
        <w:tblCellMar>
          <w:top w:w="0" w:type="dxa"/>
          <w:left w:w="108" w:type="dxa"/>
          <w:bottom w:w="0" w:type="dxa"/>
          <w:right w:w="108" w:type="dxa"/>
        </w:tblCellMar>
      </w:tblPr>
      <w:tblGrid>
        <w:gridCol w:w="8640"/>
      </w:tblGrid>
      <w:tr w14:paraId="38C374A8">
        <w:trPr>
          <w:jc w:val="center"/>
        </w:trPr>
        <w:tc>
          <w:tcPr>
            <w:tcW w:w="8640" w:type="dxa"/>
            <w:tcBorders>
              <w:top w:val="nil"/>
              <w:left w:val="single" w:color="2E86C1" w:sz="24" w:space="0"/>
              <w:bottom w:val="nil"/>
              <w:right w:val="nil"/>
            </w:tcBorders>
            <w:shd w:val="clear" w:color="auto" w:fill="E8F4FD"/>
          </w:tcPr>
          <w:p w14:paraId="4B23F088">
            <w:r>
              <w:rPr>
                <w:b/>
                <w:color w:val="2C3E6B"/>
                <w:sz w:val="20"/>
              </w:rPr>
              <w:t>Interpretation</w:t>
            </w:r>
          </w:p>
          <w:p w14:paraId="1327936A">
            <w:pPr>
              <w:spacing w:after="80"/>
            </w:pPr>
            <w:r>
              <w:rPr>
                <w:color w:val="333333"/>
                <w:sz w:val="20"/>
              </w:rPr>
              <w:t>The distribution is right-skewed (positively skewed), with a long tail extending beyond 300,000 INR. The majority of laptops (&gt;70%) fall in the 20,000-80,000 INR range, forming the market's 'sweet spot.' The skewness has implications for modelling: a standard linear regression may under-predict prices at the premium end. A log transformation of the target variable could help normalise the distribution and improve predictions for high-end laptops.</w:t>
            </w:r>
          </w:p>
        </w:tc>
      </w:tr>
    </w:tbl>
    <w:p w14:paraId="2A27A5CE"/>
    <w:p w14:paraId="12529E01">
      <w:pPr>
        <w:spacing w:before="160" w:after="40"/>
        <w:jc w:val="center"/>
      </w:pPr>
      <w:r>
        <w:drawing>
          <wp:inline distT="0" distB="0" distL="114300" distR="114300">
            <wp:extent cx="5029200" cy="2760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761597"/>
                    </a:xfrm>
                    <a:prstGeom prst="rect">
                      <a:avLst/>
                    </a:prstGeom>
                  </pic:spPr>
                </pic:pic>
              </a:graphicData>
            </a:graphic>
          </wp:inline>
        </w:drawing>
      </w:r>
    </w:p>
    <w:p w14:paraId="08BF276D">
      <w:pPr>
        <w:spacing w:after="200"/>
        <w:jc w:val="center"/>
      </w:pPr>
      <w:r>
        <w:rPr>
          <w:i/>
          <w:color w:val="666666"/>
          <w:sz w:val="18"/>
        </w:rPr>
        <w:t>Figure 2 — Price Distribution with KDE Overlay (Final Report)</w:t>
      </w:r>
    </w:p>
    <w:tbl>
      <w:tblPr>
        <w:tblStyle w:val="12"/>
        <w:tblW w:w="0" w:type="auto"/>
        <w:jc w:val="center"/>
        <w:tblLayout w:type="autofit"/>
        <w:tblCellMar>
          <w:top w:w="0" w:type="dxa"/>
          <w:left w:w="108" w:type="dxa"/>
          <w:bottom w:w="0" w:type="dxa"/>
          <w:right w:w="108" w:type="dxa"/>
        </w:tblCellMar>
      </w:tblPr>
      <w:tblGrid>
        <w:gridCol w:w="8640"/>
      </w:tblGrid>
      <w:tr w14:paraId="101D1F3E">
        <w:trPr>
          <w:jc w:val="center"/>
        </w:trPr>
        <w:tc>
          <w:tcPr>
            <w:tcW w:w="8640" w:type="dxa"/>
            <w:tcBorders>
              <w:top w:val="nil"/>
              <w:left w:val="single" w:color="2E86C1" w:sz="24" w:space="0"/>
              <w:bottom w:val="nil"/>
              <w:right w:val="nil"/>
            </w:tcBorders>
            <w:shd w:val="clear" w:color="auto" w:fill="E8F4FD"/>
          </w:tcPr>
          <w:p w14:paraId="5D039C0B">
            <w:r>
              <w:rPr>
                <w:b/>
                <w:color w:val="2C3E6B"/>
                <w:sz w:val="20"/>
              </w:rPr>
              <w:t>Comment</w:t>
            </w:r>
          </w:p>
          <w:p w14:paraId="28B19616">
            <w:pPr>
              <w:spacing w:after="80"/>
            </w:pPr>
            <w:r>
              <w:rPr>
                <w:color w:val="333333"/>
                <w:sz w:val="20"/>
              </w:rPr>
              <w:t>The KDE (kernel density estimate) overlay confirms the unimodal shape with a peak around 40,000-50,000 INR. The smooth curve makes it easier to see that the mode is well below the mean, a hallmark of right skew. This tells us the 'typical' laptop is much cheaper than the average — important context for interpreting MAE later.</w:t>
            </w:r>
          </w:p>
        </w:tc>
      </w:tr>
    </w:tbl>
    <w:p w14:paraId="63ED4A30"/>
    <w:p w14:paraId="45075F14">
      <w:pPr>
        <w:pStyle w:val="3"/>
      </w:pPr>
      <w:r>
        <w:t>4.2 RAM vs Price</w:t>
      </w:r>
    </w:p>
    <w:p w14:paraId="398F7B76">
      <w:r>
        <w:t>RAM emerged as the single most correlated feature with price (r = 0.74). The following visualisations examine this relationship from two perspectives.</w:t>
      </w:r>
    </w:p>
    <w:p w14:paraId="2D9B998D">
      <w:pPr>
        <w:spacing w:before="160" w:after="40"/>
        <w:jc w:val="center"/>
      </w:pPr>
      <w:r>
        <w:drawing>
          <wp:inline distT="0" distB="0" distL="114300" distR="114300">
            <wp:extent cx="5029200" cy="2473325"/>
            <wp:effectExtent l="0" t="0" r="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473712"/>
                    </a:xfrm>
                    <a:prstGeom prst="rect">
                      <a:avLst/>
                    </a:prstGeom>
                  </pic:spPr>
                </pic:pic>
              </a:graphicData>
            </a:graphic>
          </wp:inline>
        </w:drawing>
      </w:r>
    </w:p>
    <w:p w14:paraId="781E675C">
      <w:pPr>
        <w:spacing w:after="200"/>
        <w:jc w:val="center"/>
      </w:pPr>
      <w:r>
        <w:rPr>
          <w:i/>
          <w:color w:val="666666"/>
          <w:sz w:val="18"/>
        </w:rPr>
        <w:t>Figure 3 — RAM Capacity vs Price (Violin Plot)</w:t>
      </w:r>
    </w:p>
    <w:tbl>
      <w:tblPr>
        <w:tblStyle w:val="12"/>
        <w:tblW w:w="0" w:type="auto"/>
        <w:jc w:val="center"/>
        <w:tblLayout w:type="autofit"/>
        <w:tblCellMar>
          <w:top w:w="0" w:type="dxa"/>
          <w:left w:w="108" w:type="dxa"/>
          <w:bottom w:w="0" w:type="dxa"/>
          <w:right w:w="108" w:type="dxa"/>
        </w:tblCellMar>
      </w:tblPr>
      <w:tblGrid>
        <w:gridCol w:w="8640"/>
      </w:tblGrid>
      <w:tr w14:paraId="0F691E53">
        <w:trPr>
          <w:jc w:val="center"/>
        </w:trPr>
        <w:tc>
          <w:tcPr>
            <w:tcW w:w="8640" w:type="dxa"/>
            <w:tcBorders>
              <w:top w:val="nil"/>
              <w:left w:val="single" w:color="2E86C1" w:sz="24" w:space="0"/>
              <w:bottom w:val="nil"/>
              <w:right w:val="nil"/>
            </w:tcBorders>
            <w:shd w:val="clear" w:color="auto" w:fill="E8F4FD"/>
          </w:tcPr>
          <w:p w14:paraId="3E24DB86">
            <w:r>
              <w:rPr>
                <w:b/>
                <w:color w:val="2C3E6B"/>
                <w:sz w:val="20"/>
              </w:rPr>
              <w:t>Interpretation</w:t>
            </w:r>
          </w:p>
          <w:p w14:paraId="55539254">
            <w:pPr>
              <w:spacing w:after="80"/>
            </w:pPr>
            <w:r>
              <w:rPr>
                <w:color w:val="333333"/>
                <w:sz w:val="20"/>
              </w:rPr>
              <w:t>The violin plot reveals several important patterns: (1) Each RAM tier shows a clear upward shift in price, confirming the strong positive correlation. (2) The 8 GB and 16 GB tiers have the widest distributions, indicating these are the most common configurations with the greatest within-tier price variation — likely driven by other features like CPU and brand. (3) The 64 GB tier, while small in sample size, concentrates at high prices (&gt;200,000 INR), suggesting these are specialised workstation or server-class machines.</w:t>
            </w:r>
          </w:p>
        </w:tc>
      </w:tr>
    </w:tbl>
    <w:p w14:paraId="52C4EE5C"/>
    <w:p w14:paraId="14681D4E">
      <w:pPr>
        <w:spacing w:before="160" w:after="40"/>
        <w:jc w:val="center"/>
      </w:pPr>
      <w:r>
        <w:drawing>
          <wp:inline distT="0" distB="0" distL="114300" distR="114300">
            <wp:extent cx="5029200" cy="3666490"/>
            <wp:effectExtent l="0" t="0" r="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3666775"/>
                    </a:xfrm>
                    <a:prstGeom prst="rect">
                      <a:avLst/>
                    </a:prstGeom>
                  </pic:spPr>
                </pic:pic>
              </a:graphicData>
            </a:graphic>
          </wp:inline>
        </w:drawing>
      </w:r>
    </w:p>
    <w:p w14:paraId="344DC9A1">
      <w:pPr>
        <w:spacing w:after="200"/>
        <w:jc w:val="center"/>
      </w:pPr>
      <w:r>
        <w:rPr>
          <w:i/>
          <w:color w:val="666666"/>
          <w:sz w:val="18"/>
        </w:rPr>
        <w:t>Figure 4 — Mean Price by RAM Tier (Bar Plot)</w:t>
      </w:r>
    </w:p>
    <w:tbl>
      <w:tblPr>
        <w:tblStyle w:val="12"/>
        <w:tblW w:w="0" w:type="auto"/>
        <w:jc w:val="center"/>
        <w:tblLayout w:type="autofit"/>
        <w:tblCellMar>
          <w:top w:w="0" w:type="dxa"/>
          <w:left w:w="108" w:type="dxa"/>
          <w:bottom w:w="0" w:type="dxa"/>
          <w:right w:w="108" w:type="dxa"/>
        </w:tblCellMar>
      </w:tblPr>
      <w:tblGrid>
        <w:gridCol w:w="8640"/>
      </w:tblGrid>
      <w:tr w14:paraId="3D085A5F">
        <w:trPr>
          <w:jc w:val="center"/>
        </w:trPr>
        <w:tc>
          <w:tcPr>
            <w:tcW w:w="8640" w:type="dxa"/>
            <w:tcBorders>
              <w:top w:val="nil"/>
              <w:left w:val="single" w:color="2E86C1" w:sz="24" w:space="0"/>
              <w:bottom w:val="nil"/>
              <w:right w:val="nil"/>
            </w:tcBorders>
            <w:shd w:val="clear" w:color="auto" w:fill="E8F4FD"/>
          </w:tcPr>
          <w:p w14:paraId="70399711">
            <w:r>
              <w:rPr>
                <w:b/>
                <w:color w:val="2C3E6B"/>
                <w:sz w:val="20"/>
              </w:rPr>
              <w:t>Comment</w:t>
            </w:r>
          </w:p>
          <w:p w14:paraId="42202F5D">
            <w:pPr>
              <w:spacing w:after="80"/>
            </w:pPr>
            <w:r>
              <w:rPr>
                <w:color w:val="333333"/>
                <w:sz w:val="20"/>
              </w:rPr>
              <w:t>The bar plot quantifies the mean price per RAM tier. The step-function pattern shows roughly a 20,000-30,000 INR increase per doubling of RAM (4-&gt;8-&gt;16-&gt;32 GB). This near-linear scaling makes RAM an ideal linear regression predictor. The coefficient in the final model (6,250 INR per unit) reflects this consistent relationship.</w:t>
            </w:r>
          </w:p>
        </w:tc>
      </w:tr>
    </w:tbl>
    <w:p w14:paraId="1D41E198"/>
    <w:p w14:paraId="616A15F6">
      <w:pPr>
        <w:pStyle w:val="3"/>
      </w:pPr>
      <w:r>
        <w:t>4.3 Screen Size vs Price</w:t>
      </w:r>
    </w:p>
    <w:p w14:paraId="749F9890">
      <w:r>
        <w:t>Screen size (measured in inches) has a surprisingly weak overall correlation with price (r = 0.07). However, the relationship becomes more nuanced when segmented by laptop type.</w:t>
      </w:r>
    </w:p>
    <w:p w14:paraId="4E43C926">
      <w:pPr>
        <w:spacing w:before="160" w:after="40"/>
        <w:jc w:val="center"/>
      </w:pPr>
      <w:r>
        <w:drawing>
          <wp:inline distT="0" distB="0" distL="114300" distR="114300">
            <wp:extent cx="5029200" cy="27628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762920"/>
                    </a:xfrm>
                    <a:prstGeom prst="rect">
                      <a:avLst/>
                    </a:prstGeom>
                  </pic:spPr>
                </pic:pic>
              </a:graphicData>
            </a:graphic>
          </wp:inline>
        </w:drawing>
      </w:r>
    </w:p>
    <w:p w14:paraId="5C102DEC">
      <w:pPr>
        <w:spacing w:after="200"/>
        <w:jc w:val="center"/>
      </w:pPr>
      <w:r>
        <w:rPr>
          <w:i/>
          <w:color w:val="666666"/>
          <w:sz w:val="18"/>
        </w:rPr>
        <w:t>Figure 5 — Screen Size vs Price by Laptop Type</w:t>
      </w:r>
    </w:p>
    <w:tbl>
      <w:tblPr>
        <w:tblStyle w:val="12"/>
        <w:tblW w:w="0" w:type="auto"/>
        <w:jc w:val="center"/>
        <w:tblLayout w:type="autofit"/>
        <w:tblCellMar>
          <w:top w:w="0" w:type="dxa"/>
          <w:left w:w="108" w:type="dxa"/>
          <w:bottom w:w="0" w:type="dxa"/>
          <w:right w:w="108" w:type="dxa"/>
        </w:tblCellMar>
      </w:tblPr>
      <w:tblGrid>
        <w:gridCol w:w="8640"/>
      </w:tblGrid>
      <w:tr w14:paraId="42B3800A">
        <w:trPr>
          <w:jc w:val="center"/>
        </w:trPr>
        <w:tc>
          <w:tcPr>
            <w:tcW w:w="8640" w:type="dxa"/>
            <w:tcBorders>
              <w:top w:val="nil"/>
              <w:left w:val="single" w:color="2E86C1" w:sz="24" w:space="0"/>
              <w:bottom w:val="nil"/>
              <w:right w:val="nil"/>
            </w:tcBorders>
            <w:shd w:val="clear" w:color="auto" w:fill="E8F4FD"/>
          </w:tcPr>
          <w:p w14:paraId="4DB47333">
            <w:r>
              <w:rPr>
                <w:b/>
                <w:color w:val="2C3E6B"/>
                <w:sz w:val="20"/>
              </w:rPr>
              <w:t>Interpretation</w:t>
            </w:r>
          </w:p>
          <w:p w14:paraId="4E4AD8C2">
            <w:pPr>
              <w:spacing w:after="80"/>
            </w:pPr>
            <w:r>
              <w:rPr>
                <w:color w:val="333333"/>
                <w:sz w:val="20"/>
              </w:rPr>
              <w:t>This is a textbook example of Simpson's paradox: the aggregate correlation is near zero, but within each laptop type, there may be a stronger relationship. Gaming and workstation laptops (often 15.6"-17.3") cluster at higher prices regardless of size, while budget notebooks at the same screen sizes are dramatically cheaper. This tells us that screen size is a confounded variable — it proxies for laptop category rather than being a direct price driver. The model handles this correctly by including TypeName as a separate feature.</w:t>
            </w:r>
          </w:p>
        </w:tc>
      </w:tr>
    </w:tbl>
    <w:p w14:paraId="1571472F"/>
    <w:p w14:paraId="5F848479">
      <w:pPr>
        <w:pStyle w:val="3"/>
      </w:pPr>
      <w:r>
        <w:t>4.4 Price by Laptop Type</w:t>
      </w:r>
    </w:p>
    <w:p w14:paraId="2AB40933">
      <w:r>
        <w:t>The box plot below stratifies prices by laptop form factor, revealing clear pricing tiers in the market.</w:t>
      </w:r>
    </w:p>
    <w:p w14:paraId="5184A62A">
      <w:pPr>
        <w:spacing w:before="160" w:after="40"/>
        <w:jc w:val="center"/>
      </w:pPr>
      <w:r>
        <w:drawing>
          <wp:inline distT="0" distB="0" distL="114300" distR="114300">
            <wp:extent cx="5029200" cy="2473325"/>
            <wp:effectExtent l="0" t="0" r="0"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2473712"/>
                    </a:xfrm>
                    <a:prstGeom prst="rect">
                      <a:avLst/>
                    </a:prstGeom>
                  </pic:spPr>
                </pic:pic>
              </a:graphicData>
            </a:graphic>
          </wp:inline>
        </w:drawing>
      </w:r>
    </w:p>
    <w:p w14:paraId="20275898">
      <w:pPr>
        <w:spacing w:after="200"/>
        <w:jc w:val="center"/>
      </w:pPr>
      <w:r>
        <w:rPr>
          <w:i/>
          <w:color w:val="666666"/>
          <w:sz w:val="18"/>
        </w:rPr>
        <w:t>Figure 6 — Price Spread by Laptop Type</w:t>
      </w:r>
    </w:p>
    <w:tbl>
      <w:tblPr>
        <w:tblStyle w:val="12"/>
        <w:tblW w:w="0" w:type="auto"/>
        <w:jc w:val="center"/>
        <w:tblLayout w:type="autofit"/>
        <w:tblCellMar>
          <w:top w:w="0" w:type="dxa"/>
          <w:left w:w="108" w:type="dxa"/>
          <w:bottom w:w="0" w:type="dxa"/>
          <w:right w:w="108" w:type="dxa"/>
        </w:tblCellMar>
      </w:tblPr>
      <w:tblGrid>
        <w:gridCol w:w="8640"/>
      </w:tblGrid>
      <w:tr w14:paraId="5826344D">
        <w:trPr>
          <w:jc w:val="center"/>
        </w:trPr>
        <w:tc>
          <w:tcPr>
            <w:tcW w:w="8640" w:type="dxa"/>
            <w:tcBorders>
              <w:top w:val="nil"/>
              <w:left w:val="single" w:color="2E86C1" w:sz="24" w:space="0"/>
              <w:bottom w:val="nil"/>
              <w:right w:val="nil"/>
            </w:tcBorders>
            <w:shd w:val="clear" w:color="auto" w:fill="E8F4FD"/>
          </w:tcPr>
          <w:p w14:paraId="16EB9D46">
            <w:r>
              <w:rPr>
                <w:b/>
                <w:color w:val="2C3E6B"/>
                <w:sz w:val="20"/>
              </w:rPr>
              <w:t>Interpretation</w:t>
            </w:r>
          </w:p>
          <w:p w14:paraId="59BF92C7">
            <w:pPr>
              <w:spacing w:after="80"/>
            </w:pPr>
            <w:r>
              <w:rPr>
                <w:color w:val="333333"/>
                <w:sz w:val="20"/>
              </w:rPr>
              <w:t>Workstation laptops have both the highest median price and the widest interquartile range, reflecting the premium segment's price dispersion. Gaming laptops form a distinct mid-to-high tier. Notebooks and Netbooks anchor the low end. The numerous outliers in the Notebook category suggest that some premium ultrabooks are being categorised as 'Notebook' despite commanding high prices — a potential source of model error.</w:t>
            </w:r>
          </w:p>
        </w:tc>
      </w:tr>
    </w:tbl>
    <w:p w14:paraId="654C9624"/>
    <w:p w14:paraId="495AA7EE">
      <w:pPr>
        <w:pStyle w:val="3"/>
      </w:pPr>
      <w:r>
        <w:t>4.5 Top Companies by Listing Count</w:t>
      </w:r>
    </w:p>
    <w:p w14:paraId="4525C1DF">
      <w:r>
        <w:t>Market share (by number of SKUs listed) reveals which brands dominate the catalogue.</w:t>
      </w:r>
    </w:p>
    <w:p w14:paraId="3ECF5FA4">
      <w:pPr>
        <w:spacing w:before="160" w:after="40"/>
        <w:jc w:val="center"/>
      </w:pPr>
      <w:r>
        <w:drawing>
          <wp:inline distT="0" distB="0" distL="114300" distR="114300">
            <wp:extent cx="5029200" cy="2473325"/>
            <wp:effectExtent l="0" t="0" r="0"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2473712"/>
                    </a:xfrm>
                    <a:prstGeom prst="rect">
                      <a:avLst/>
                    </a:prstGeom>
                  </pic:spPr>
                </pic:pic>
              </a:graphicData>
            </a:graphic>
          </wp:inline>
        </w:drawing>
      </w:r>
    </w:p>
    <w:p w14:paraId="1EB76D6C">
      <w:pPr>
        <w:spacing w:after="200"/>
        <w:jc w:val="center"/>
      </w:pPr>
      <w:r>
        <w:rPr>
          <w:i/>
          <w:color w:val="666666"/>
          <w:sz w:val="18"/>
        </w:rPr>
        <w:t>Figure 7 — Top 10 Companies by Laptop Count</w:t>
      </w:r>
    </w:p>
    <w:tbl>
      <w:tblPr>
        <w:tblStyle w:val="12"/>
        <w:tblW w:w="0" w:type="auto"/>
        <w:jc w:val="center"/>
        <w:tblLayout w:type="autofit"/>
        <w:tblCellMar>
          <w:top w:w="0" w:type="dxa"/>
          <w:left w:w="108" w:type="dxa"/>
          <w:bottom w:w="0" w:type="dxa"/>
          <w:right w:w="108" w:type="dxa"/>
        </w:tblCellMar>
      </w:tblPr>
      <w:tblGrid>
        <w:gridCol w:w="8640"/>
      </w:tblGrid>
      <w:tr w14:paraId="63AD8DCD">
        <w:trPr>
          <w:jc w:val="center"/>
        </w:trPr>
        <w:tc>
          <w:tcPr>
            <w:tcW w:w="8640" w:type="dxa"/>
            <w:tcBorders>
              <w:top w:val="nil"/>
              <w:left w:val="single" w:color="2E86C1" w:sz="24" w:space="0"/>
              <w:bottom w:val="nil"/>
              <w:right w:val="nil"/>
            </w:tcBorders>
            <w:shd w:val="clear" w:color="auto" w:fill="E8F8E8"/>
          </w:tcPr>
          <w:p w14:paraId="29427315">
            <w:r>
              <w:rPr>
                <w:b/>
                <w:color w:val="2C3E6B"/>
                <w:sz w:val="20"/>
              </w:rPr>
              <w:t>Key Finding</w:t>
            </w:r>
          </w:p>
          <w:p w14:paraId="5824D202">
            <w:pPr>
              <w:spacing w:after="80"/>
            </w:pPr>
            <w:r>
              <w:rPr>
                <w:color w:val="333333"/>
                <w:sz w:val="20"/>
              </w:rPr>
              <w:t>Lenovo, Dell, and HP collectively account for approximately 55% of all listings. This concentration means the model has the most training data for these brands and will make the most reliable predictions for their laptops. Niche brands like Razer, LG, and Mediacom have fewer samples, which may lead to higher prediction variance.</w:t>
            </w:r>
          </w:p>
        </w:tc>
      </w:tr>
    </w:tbl>
    <w:p w14:paraId="68FA85FC"/>
    <w:p w14:paraId="0FEDE002">
      <w:pPr>
        <w:pStyle w:val="3"/>
      </w:pPr>
      <w:r>
        <w:t>4.6 CPU Brand vs Price</w:t>
      </w:r>
    </w:p>
    <w:p w14:paraId="1A7D0635">
      <w:r>
        <w:t>Processor family is a key categorical predictor. The bar chart below shows average price segmented by CPU brand groupings.</w:t>
      </w:r>
    </w:p>
    <w:p w14:paraId="5BBED66F">
      <w:pPr>
        <w:spacing w:before="160" w:after="40"/>
        <w:jc w:val="center"/>
      </w:pPr>
      <w:r>
        <w:drawing>
          <wp:inline distT="0" distB="0" distL="114300" distR="114300">
            <wp:extent cx="5029200" cy="4815205"/>
            <wp:effectExtent l="0" t="0" r="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4815737"/>
                    </a:xfrm>
                    <a:prstGeom prst="rect">
                      <a:avLst/>
                    </a:prstGeom>
                  </pic:spPr>
                </pic:pic>
              </a:graphicData>
            </a:graphic>
          </wp:inline>
        </w:drawing>
      </w:r>
    </w:p>
    <w:p w14:paraId="0791FBC8">
      <w:pPr>
        <w:spacing w:after="200"/>
        <w:jc w:val="center"/>
      </w:pPr>
      <w:r>
        <w:rPr>
          <w:i/>
          <w:color w:val="666666"/>
          <w:sz w:val="18"/>
        </w:rPr>
        <w:t>Figure 8 — Average Price by CPU Brand</w:t>
      </w:r>
    </w:p>
    <w:tbl>
      <w:tblPr>
        <w:tblStyle w:val="12"/>
        <w:tblW w:w="0" w:type="auto"/>
        <w:jc w:val="center"/>
        <w:tblLayout w:type="autofit"/>
        <w:tblCellMar>
          <w:top w:w="0" w:type="dxa"/>
          <w:left w:w="108" w:type="dxa"/>
          <w:bottom w:w="0" w:type="dxa"/>
          <w:right w:w="108" w:type="dxa"/>
        </w:tblCellMar>
      </w:tblPr>
      <w:tblGrid>
        <w:gridCol w:w="8640"/>
      </w:tblGrid>
      <w:tr w14:paraId="605E1673">
        <w:trPr>
          <w:jc w:val="center"/>
        </w:trPr>
        <w:tc>
          <w:tcPr>
            <w:tcW w:w="8640" w:type="dxa"/>
            <w:tcBorders>
              <w:top w:val="nil"/>
              <w:left w:val="single" w:color="2E86C1" w:sz="24" w:space="0"/>
              <w:bottom w:val="nil"/>
              <w:right w:val="nil"/>
            </w:tcBorders>
            <w:shd w:val="clear" w:color="auto" w:fill="E8F4FD"/>
          </w:tcPr>
          <w:p w14:paraId="10576683">
            <w:r>
              <w:rPr>
                <w:b/>
                <w:color w:val="2C3E6B"/>
                <w:sz w:val="20"/>
              </w:rPr>
              <w:t>Interpretation</w:t>
            </w:r>
          </w:p>
          <w:p w14:paraId="3900DF7A">
            <w:pPr>
              <w:spacing w:after="80"/>
            </w:pPr>
            <w:r>
              <w:rPr>
                <w:color w:val="333333"/>
                <w:sz w:val="20"/>
              </w:rPr>
              <w:t>Intel Core i7 processors command the highest average price, followed by Intel Core i5. AMD processors sit at a notably lower average, reflecting their market positioning during the period this data was collected. Intel 'Other' (Celeron, Pentium, Atom) occupies the budget tier. This clear tiering makes processor family an effective categorical predictor for the regression model — each family acts as a distinct price 'baseline' that other features adjust from.</w:t>
            </w:r>
          </w:p>
        </w:tc>
      </w:tr>
    </w:tbl>
    <w:p w14:paraId="44BFE822"/>
    <w:p w14:paraId="6BCD1015">
      <w:pPr>
        <w:pStyle w:val="3"/>
      </w:pPr>
      <w:r>
        <w:t>4.7 Feature Correlation Heatmap</w:t>
      </w:r>
    </w:p>
    <w:p w14:paraId="1A3F4B7C">
      <w:r>
        <w:t>The heatmap provides a bird's-eye view of pairwise correlations between all numeric features and the target variable (Price).</w:t>
      </w:r>
    </w:p>
    <w:p w14:paraId="3ADBF393">
      <w:pPr>
        <w:spacing w:before="160" w:after="40"/>
        <w:jc w:val="center"/>
      </w:pPr>
      <w:r>
        <w:drawing>
          <wp:inline distT="0" distB="0" distL="114300" distR="114300">
            <wp:extent cx="5029200" cy="3710940"/>
            <wp:effectExtent l="0" t="0" r="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29200" cy="3711253"/>
                    </a:xfrm>
                    <a:prstGeom prst="rect">
                      <a:avLst/>
                    </a:prstGeom>
                  </pic:spPr>
                </pic:pic>
              </a:graphicData>
            </a:graphic>
          </wp:inline>
        </w:drawing>
      </w:r>
    </w:p>
    <w:p w14:paraId="7DAECF39">
      <w:pPr>
        <w:spacing w:after="200"/>
        <w:jc w:val="center"/>
      </w:pPr>
      <w:r>
        <w:rPr>
          <w:i/>
          <w:color w:val="666666"/>
          <w:sz w:val="18"/>
        </w:rPr>
        <w:t>Figure 9 — Pearson Correlation Heatmap (Numeric Features)</w:t>
      </w:r>
    </w:p>
    <w:tbl>
      <w:tblPr>
        <w:tblStyle w:val="12"/>
        <w:tblW w:w="0" w:type="auto"/>
        <w:jc w:val="center"/>
        <w:tblLayout w:type="autofit"/>
        <w:tblCellMar>
          <w:top w:w="0" w:type="dxa"/>
          <w:left w:w="108" w:type="dxa"/>
          <w:bottom w:w="0" w:type="dxa"/>
          <w:right w:w="108" w:type="dxa"/>
        </w:tblCellMar>
      </w:tblPr>
      <w:tblGrid>
        <w:gridCol w:w="8640"/>
      </w:tblGrid>
      <w:tr w14:paraId="5574ABF5">
        <w:trPr>
          <w:jc w:val="center"/>
        </w:trPr>
        <w:tc>
          <w:tcPr>
            <w:tcW w:w="8640" w:type="dxa"/>
            <w:tcBorders>
              <w:top w:val="nil"/>
              <w:left w:val="single" w:color="2E86C1" w:sz="24" w:space="0"/>
              <w:bottom w:val="nil"/>
              <w:right w:val="nil"/>
            </w:tcBorders>
            <w:shd w:val="clear" w:color="auto" w:fill="E8F4FD"/>
          </w:tcPr>
          <w:p w14:paraId="79A96A5B">
            <w:r>
              <w:rPr>
                <w:b/>
                <w:color w:val="2C3E6B"/>
                <w:sz w:val="20"/>
              </w:rPr>
              <w:t>Interpretation</w:t>
            </w:r>
          </w:p>
          <w:p w14:paraId="46608F6B">
            <w:pPr>
              <w:spacing w:after="80"/>
            </w:pPr>
            <w:r>
              <w:rPr>
                <w:color w:val="333333"/>
                <w:sz w:val="20"/>
              </w:rPr>
              <w:t>Key observations from the correlation matrix:</w:t>
            </w:r>
            <w:r>
              <w:rPr>
                <w:color w:val="333333"/>
                <w:sz w:val="20"/>
              </w:rPr>
              <w:br w:type="textWrapping"/>
            </w:r>
            <w:r>
              <w:rPr>
                <w:color w:val="333333"/>
                <w:sz w:val="20"/>
              </w:rPr>
              <w:br w:type="textWrapping"/>
            </w:r>
            <w:r>
              <w:rPr>
                <w:color w:val="333333"/>
                <w:sz w:val="20"/>
              </w:rPr>
              <w:t>- RAM to Price (0.74): Strongest single predictor, as discussed.</w:t>
            </w:r>
            <w:r>
              <w:rPr>
                <w:color w:val="333333"/>
                <w:sz w:val="20"/>
              </w:rPr>
              <w:br w:type="textWrapping"/>
            </w:r>
            <w:r>
              <w:rPr>
                <w:color w:val="333333"/>
                <w:sz w:val="20"/>
              </w:rPr>
              <w:t>- X_res to Price (0.56) and Y_res to Price (0.55): Display resolution is the second most important numeric driver. Note the very high inter-correlation between X_res and Y_res (expected, since resolutions follow standard aspect ratios), which signals potential multicollinearity.</w:t>
            </w:r>
            <w:r>
              <w:rPr>
                <w:color w:val="333333"/>
                <w:sz w:val="20"/>
              </w:rPr>
              <w:br w:type="textWrapping"/>
            </w:r>
            <w:r>
              <w:rPr>
                <w:color w:val="333333"/>
                <w:sz w:val="20"/>
              </w:rPr>
              <w:t>- PPI to Price (0.47): Pixel density adds value beyond raw resolution by normalising for screen size.</w:t>
            </w:r>
            <w:r>
              <w:rPr>
                <w:color w:val="333333"/>
                <w:sz w:val="20"/>
              </w:rPr>
              <w:br w:type="textWrapping"/>
            </w:r>
            <w:r>
              <w:rPr>
                <w:color w:val="333333"/>
                <w:sz w:val="20"/>
              </w:rPr>
              <w:t>- Inches to Price (0.07): Confirms our earlier finding that raw screen size is not a useful predictor.</w:t>
            </w:r>
            <w:r>
              <w:rPr>
                <w:color w:val="333333"/>
                <w:sz w:val="20"/>
              </w:rPr>
              <w:br w:type="textWrapping"/>
            </w:r>
            <w:r>
              <w:rPr>
                <w:color w:val="333333"/>
                <w:sz w:val="20"/>
              </w:rPr>
              <w:t>- Weight to Price (0.21): A weak positive relationship — heavier laptops tend to be slightly more expensive, likely because they carry larger batteries and more powerful hardware.</w:t>
            </w:r>
          </w:p>
        </w:tc>
      </w:tr>
    </w:tbl>
    <w:p w14:paraId="31600E92"/>
    <w:p w14:paraId="563B093E">
      <w:pPr>
        <w:pStyle w:val="3"/>
      </w:pPr>
    </w:p>
    <w:p w14:paraId="1FB4D176"/>
    <w:p w14:paraId="2EEACAE0">
      <w:pPr>
        <w:pStyle w:val="3"/>
      </w:pPr>
      <w:r>
        <w:t>4.8 Top Numeric Drivers of Price</w:t>
      </w:r>
    </w:p>
    <w:p w14:paraId="227640B5">
      <w:r>
        <w:t>Scatter plots of the four highest-correlated numeric features versus price confirm the expected positive trends.</w:t>
      </w:r>
    </w:p>
    <w:p w14:paraId="3D1AD27E">
      <w:pPr>
        <w:spacing w:before="160" w:after="40"/>
        <w:jc w:val="center"/>
      </w:pPr>
      <w:r>
        <w:drawing>
          <wp:inline distT="0" distB="0" distL="114300" distR="114300">
            <wp:extent cx="5029200" cy="2495550"/>
            <wp:effectExtent l="0" t="0" r="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29200" cy="2495566"/>
                    </a:xfrm>
                    <a:prstGeom prst="rect">
                      <a:avLst/>
                    </a:prstGeom>
                  </pic:spPr>
                </pic:pic>
              </a:graphicData>
            </a:graphic>
          </wp:inline>
        </w:drawing>
      </w:r>
    </w:p>
    <w:p w14:paraId="6C794C05">
      <w:pPr>
        <w:spacing w:after="200"/>
        <w:jc w:val="center"/>
      </w:pPr>
      <w:r>
        <w:rPr>
          <w:i/>
          <w:color w:val="666666"/>
          <w:sz w:val="18"/>
        </w:rPr>
        <w:t>Figure 10 — Price vs Top Numeric Features (Scatter Grid)</w:t>
      </w:r>
    </w:p>
    <w:tbl>
      <w:tblPr>
        <w:tblStyle w:val="12"/>
        <w:tblW w:w="0" w:type="auto"/>
        <w:jc w:val="center"/>
        <w:tblLayout w:type="autofit"/>
        <w:tblCellMar>
          <w:top w:w="0" w:type="dxa"/>
          <w:left w:w="108" w:type="dxa"/>
          <w:bottom w:w="0" w:type="dxa"/>
          <w:right w:w="108" w:type="dxa"/>
        </w:tblCellMar>
      </w:tblPr>
      <w:tblGrid>
        <w:gridCol w:w="8640"/>
      </w:tblGrid>
      <w:tr w14:paraId="339A5A3D">
        <w:trPr>
          <w:jc w:val="center"/>
        </w:trPr>
        <w:tc>
          <w:tcPr>
            <w:tcW w:w="8640" w:type="dxa"/>
            <w:tcBorders>
              <w:top w:val="nil"/>
              <w:left w:val="single" w:color="2E86C1" w:sz="24" w:space="0"/>
              <w:bottom w:val="nil"/>
              <w:right w:val="nil"/>
            </w:tcBorders>
            <w:shd w:val="clear" w:color="auto" w:fill="E8F4FD"/>
          </w:tcPr>
          <w:p w14:paraId="7786B7DF">
            <w:r>
              <w:rPr>
                <w:b/>
                <w:color w:val="2C3E6B"/>
                <w:sz w:val="20"/>
              </w:rPr>
              <w:t>Comment</w:t>
            </w:r>
          </w:p>
          <w:p w14:paraId="4EF345F6">
            <w:pPr>
              <w:spacing w:after="80"/>
            </w:pPr>
            <w:r>
              <w:rPr>
                <w:color w:val="333333"/>
                <w:sz w:val="20"/>
              </w:rPr>
              <w:t>The scatter grid shows approximately linear trends for RAM, X_res, Y_res, and PPI — which is encouraging for linear regression. However, the increasing spread at higher values (heteroscedasticity) is visible, especially for RAM &gt;= 16 GB and high-resolution displays. This pattern will reappear in our residual diagnostics and is a known challenge in price prediction where premium segments exhibit more price dispersion.</w:t>
            </w:r>
          </w:p>
        </w:tc>
      </w:tr>
    </w:tbl>
    <w:p w14:paraId="3875D4C3"/>
    <w:p w14:paraId="54A5CB56"/>
    <w:p w14:paraId="529C9698"/>
    <w:p w14:paraId="7657DADC"/>
    <w:p w14:paraId="5E74EEF2"/>
    <w:p w14:paraId="5FE0C3FD"/>
    <w:p w14:paraId="2A938076"/>
    <w:p w14:paraId="73E5151B"/>
    <w:p w14:paraId="10497438"/>
    <w:p w14:paraId="22A1BB1C"/>
    <w:p w14:paraId="3355D335">
      <w:pPr>
        <w:pStyle w:val="3"/>
      </w:pPr>
      <w:r>
        <w:t>4.9 Price Distribution by Company</w:t>
      </w:r>
    </w:p>
    <w:p w14:paraId="7AA93F50">
      <w:r>
        <w:t>Company-level box plots provide a final view of how brand identity maps to price positioning.</w:t>
      </w:r>
    </w:p>
    <w:p w14:paraId="15C0F161">
      <w:pPr>
        <w:spacing w:before="160" w:after="40"/>
        <w:jc w:val="center"/>
      </w:pPr>
      <w:r>
        <w:drawing>
          <wp:inline distT="0" distB="0" distL="114300" distR="114300">
            <wp:extent cx="5029200" cy="44183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029200" cy="4418932"/>
                    </a:xfrm>
                    <a:prstGeom prst="rect">
                      <a:avLst/>
                    </a:prstGeom>
                  </pic:spPr>
                </pic:pic>
              </a:graphicData>
            </a:graphic>
          </wp:inline>
        </w:drawing>
      </w:r>
    </w:p>
    <w:p w14:paraId="455F95AF">
      <w:pPr>
        <w:spacing w:after="200"/>
        <w:jc w:val="center"/>
      </w:pPr>
      <w:r>
        <w:rPr>
          <w:i/>
          <w:color w:val="666666"/>
          <w:sz w:val="18"/>
        </w:rPr>
        <w:t>Figure 11 — Price Distribution by Company (Top 10)</w:t>
      </w:r>
    </w:p>
    <w:tbl>
      <w:tblPr>
        <w:tblStyle w:val="12"/>
        <w:tblW w:w="0" w:type="auto"/>
        <w:jc w:val="center"/>
        <w:tblLayout w:type="autofit"/>
        <w:tblCellMar>
          <w:top w:w="0" w:type="dxa"/>
          <w:left w:w="108" w:type="dxa"/>
          <w:bottom w:w="0" w:type="dxa"/>
          <w:right w:w="108" w:type="dxa"/>
        </w:tblCellMar>
      </w:tblPr>
      <w:tblGrid>
        <w:gridCol w:w="8640"/>
      </w:tblGrid>
      <w:tr w14:paraId="0A940477">
        <w:trPr>
          <w:jc w:val="center"/>
        </w:trPr>
        <w:tc>
          <w:tcPr>
            <w:tcW w:w="8640" w:type="dxa"/>
            <w:tcBorders>
              <w:top w:val="nil"/>
              <w:left w:val="single" w:color="2E86C1" w:sz="24" w:space="0"/>
              <w:bottom w:val="nil"/>
              <w:right w:val="nil"/>
            </w:tcBorders>
            <w:shd w:val="clear" w:color="auto" w:fill="E8F8E8"/>
          </w:tcPr>
          <w:p w14:paraId="49FDE4C0">
            <w:r>
              <w:rPr>
                <w:b/>
                <w:color w:val="2C3E6B"/>
                <w:sz w:val="20"/>
              </w:rPr>
              <w:t>Key Finding</w:t>
            </w:r>
          </w:p>
          <w:p w14:paraId="162431C5">
            <w:pPr>
              <w:spacing w:after="80"/>
            </w:pPr>
            <w:r>
              <w:rPr>
                <w:color w:val="333333"/>
                <w:sz w:val="20"/>
              </w:rPr>
              <w:t>Razer, LG, and MSI consistently occupy the upper price bands. Razer's box plot is notably narrow and high, reflecting a focused premium strategy with little price variation. In contrast, Dell and Lenovo span the entire price range — from budget to premium — making brand alone insufficient to predict price without knowing the specific product line. This insight supports our use of multiple features rather than relying on brand as a single predictor.</w:t>
            </w:r>
          </w:p>
        </w:tc>
      </w:tr>
    </w:tbl>
    <w:p w14:paraId="162B8030"/>
    <w:p w14:paraId="6EAA6254">
      <w:r>
        <w:br w:type="page"/>
      </w:r>
    </w:p>
    <w:p w14:paraId="217A3BC0">
      <w:pPr>
        <w:pStyle w:val="2"/>
      </w:pPr>
      <w:r>
        <w:t>5. Feature Engineering</w:t>
      </w:r>
    </w:p>
    <w:p w14:paraId="0FD72EFC">
      <w:pPr>
        <w:pBdr>
          <w:bottom w:val="single" w:color="2E86C1" w:sz="6" w:space="1"/>
        </w:pBdr>
        <w:jc w:val="center"/>
      </w:pPr>
    </w:p>
    <w:p w14:paraId="16F57205">
      <w:r>
        <w:t>Feature engineering transforms raw data columns into model-ready features. The following derived features were created to capture patterns hidden in the original data representation.</w:t>
      </w:r>
    </w:p>
    <w:p w14:paraId="12B888A9">
      <w:pPr>
        <w:pStyle w:val="3"/>
      </w:pPr>
      <w:r>
        <w:t>5.1 Derived Features</w:t>
      </w:r>
    </w:p>
    <w:p w14:paraId="316ED75E">
      <w:pPr>
        <w:pStyle w:val="23"/>
      </w:pPr>
      <w:r>
        <w:rPr>
          <w:b/>
          <w:color w:val="2C3E6B"/>
        </w:rPr>
        <w:t>Touchscreen —</w:t>
      </w:r>
      <w:r>
        <w:t xml:space="preserve">  Binary flag extracted from the ScreenResolution string.</w:t>
      </w:r>
    </w:p>
    <w:p w14:paraId="6DA48449">
      <w:pPr>
        <w:pStyle w:val="23"/>
      </w:pPr>
      <w:r>
        <w:rPr>
          <w:b/>
          <w:color w:val="2C3E6B"/>
        </w:rPr>
        <w:t>IPS —</w:t>
      </w:r>
      <w:r>
        <w:t xml:space="preserve">  Binary flag for IPS panel displays (higher viewing angles, generally premium).</w:t>
      </w:r>
    </w:p>
    <w:p w14:paraId="026D9AE1">
      <w:pPr>
        <w:pStyle w:val="23"/>
      </w:pPr>
      <w:r>
        <w:rPr>
          <w:b/>
          <w:color w:val="2C3E6B"/>
        </w:rPr>
        <w:t>X_res / Y_res —</w:t>
      </w:r>
      <w:r>
        <w:t xml:space="preserve">  Horizontal and vertical pixel counts parsed from resolution strings (e.g., '1920x1080').</w:t>
      </w:r>
    </w:p>
    <w:p w14:paraId="487DBF60">
      <w:pPr>
        <w:pStyle w:val="23"/>
      </w:pPr>
      <w:r>
        <w:rPr>
          <w:b/>
          <w:color w:val="2C3E6B"/>
        </w:rPr>
        <w:t>PPI —</w:t>
      </w:r>
      <w:r>
        <w:t xml:space="preserve">  Pixels per inch, computed from resolution and screen size. Normalises resolution by screen size.</w:t>
      </w:r>
    </w:p>
    <w:p w14:paraId="091A6BCD">
      <w:pPr>
        <w:pStyle w:val="23"/>
      </w:pPr>
      <w:r>
        <w:rPr>
          <w:b/>
          <w:color w:val="2C3E6B"/>
        </w:rPr>
        <w:t>Processor Brand —</w:t>
      </w:r>
      <w:r>
        <w:t xml:space="preserve">  First word of the CPU string (Intel, AMD, Samsung).</w:t>
      </w:r>
    </w:p>
    <w:p w14:paraId="1D1C6354">
      <w:pPr>
        <w:pStyle w:val="23"/>
      </w:pPr>
      <w:r>
        <w:rPr>
          <w:b/>
          <w:color w:val="2C3E6B"/>
        </w:rPr>
        <w:t>Processor Family —</w:t>
      </w:r>
      <w:r>
        <w:t xml:space="preserve">  Categorical grouping: Intel Core i3/i5/i7/i9, AMD Ryzen, etc.</w:t>
      </w:r>
    </w:p>
    <w:p w14:paraId="4B991B8B">
      <w:pPr>
        <w:pStyle w:val="23"/>
      </w:pPr>
      <w:r>
        <w:rPr>
          <w:b/>
          <w:color w:val="2C3E6B"/>
        </w:rPr>
        <w:t>Is_Gaming_Laptop —</w:t>
      </w:r>
      <w:r>
        <w:t xml:space="preserve">  Boolean derived from TypeName — 'Gaming' type flagged as True.</w:t>
      </w:r>
    </w:p>
    <w:p w14:paraId="6F90CE8F">
      <w:pPr>
        <w:pStyle w:val="23"/>
      </w:pPr>
      <w:r>
        <w:rPr>
          <w:b/>
          <w:color w:val="2C3E6B"/>
        </w:rPr>
        <w:t>CPU Brand —</w:t>
      </w:r>
      <w:r>
        <w:t xml:space="preserve">  Simplified processor category for regression use.</w:t>
      </w:r>
    </w:p>
    <w:tbl>
      <w:tblPr>
        <w:tblStyle w:val="12"/>
        <w:tblW w:w="0" w:type="auto"/>
        <w:jc w:val="center"/>
        <w:tblLayout w:type="autofit"/>
        <w:tblCellMar>
          <w:top w:w="0" w:type="dxa"/>
          <w:left w:w="108" w:type="dxa"/>
          <w:bottom w:w="0" w:type="dxa"/>
          <w:right w:w="108" w:type="dxa"/>
        </w:tblCellMar>
      </w:tblPr>
      <w:tblGrid>
        <w:gridCol w:w="8640"/>
      </w:tblGrid>
      <w:tr w14:paraId="1CFEA94C">
        <w:trPr>
          <w:jc w:val="center"/>
        </w:trPr>
        <w:tc>
          <w:tcPr>
            <w:tcW w:w="8640" w:type="dxa"/>
            <w:tcBorders>
              <w:top w:val="nil"/>
              <w:left w:val="single" w:color="2E86C1" w:sz="24" w:space="0"/>
              <w:bottom w:val="nil"/>
              <w:right w:val="nil"/>
            </w:tcBorders>
            <w:shd w:val="clear" w:color="auto" w:fill="E8F4FD"/>
          </w:tcPr>
          <w:p w14:paraId="2D350091">
            <w:r>
              <w:rPr>
                <w:b/>
                <w:color w:val="2C3E6B"/>
                <w:sz w:val="20"/>
              </w:rPr>
              <w:t>Interpretation</w:t>
            </w:r>
          </w:p>
          <w:p w14:paraId="0089B89C">
            <w:pPr>
              <w:spacing w:after="80"/>
            </w:pPr>
            <w:r>
              <w:rPr>
                <w:color w:val="333333"/>
                <w:sz w:val="20"/>
              </w:rPr>
              <w:t>Feature engineering expanded the dataset from 11 to 18 columns while keeping 1,303 rows. The most impactful new features were the resolution components (X_res, Y_res, PPI) which unlocked strong correlations (0.47-0.56) that were hidden inside the original free-text ScreenResolution column. The Touchscreen and IPS flags capture qualitative display traits that buyers explicitly value, and Is_Gaming_Laptop serves as a proxy for the higher build-quality and GPU requirements of the gaming segment.</w:t>
            </w:r>
          </w:p>
        </w:tc>
      </w:tr>
    </w:tbl>
    <w:p w14:paraId="00D73B01"/>
    <w:p w14:paraId="1F25078E"/>
    <w:p w14:paraId="100DF48A"/>
    <w:p w14:paraId="772B33F1"/>
    <w:p w14:paraId="44C05A9D"/>
    <w:p w14:paraId="28949D5D"/>
    <w:p w14:paraId="1538C3A1"/>
    <w:p w14:paraId="0F67BFB0"/>
    <w:p w14:paraId="494FC66C">
      <w:pPr>
        <w:pStyle w:val="3"/>
      </w:pPr>
      <w:r>
        <w:t>5.2 Feature Correlations with Price</w:t>
      </w:r>
    </w:p>
    <w:tbl>
      <w:tblPr>
        <w:tblStyle w:val="12"/>
        <w:tblW w:w="0" w:type="auto"/>
        <w:jc w:val="center"/>
        <w:tblLayout w:type="autofit"/>
        <w:tblCellMar>
          <w:top w:w="0" w:type="dxa"/>
          <w:left w:w="108" w:type="dxa"/>
          <w:bottom w:w="0" w:type="dxa"/>
          <w:right w:w="108" w:type="dxa"/>
        </w:tblCellMar>
      </w:tblPr>
      <w:tblGrid>
        <w:gridCol w:w="4608"/>
        <w:gridCol w:w="3312"/>
      </w:tblGrid>
      <w:tr w14:paraId="0C7D340A">
        <w:trPr>
          <w:jc w:val="center"/>
        </w:trPr>
        <w:tc>
          <w:tcPr>
            <w:tcW w:w="4608" w:type="dxa"/>
            <w:shd w:val="clear" w:color="auto" w:fill="1A2E4A"/>
          </w:tcPr>
          <w:p w14:paraId="01B7AE33">
            <w:pPr>
              <w:jc w:val="center"/>
            </w:pPr>
            <w:r>
              <w:rPr>
                <w:b/>
                <w:color w:val="FFFFFF"/>
                <w:sz w:val="20"/>
              </w:rPr>
              <w:t>Metric</w:t>
            </w:r>
          </w:p>
        </w:tc>
        <w:tc>
          <w:tcPr>
            <w:tcW w:w="3312" w:type="dxa"/>
            <w:shd w:val="clear" w:color="auto" w:fill="1A2E4A"/>
          </w:tcPr>
          <w:p w14:paraId="1DCCE502">
            <w:pPr>
              <w:jc w:val="center"/>
            </w:pPr>
            <w:r>
              <w:rPr>
                <w:b/>
                <w:color w:val="FFFFFF"/>
                <w:sz w:val="20"/>
              </w:rPr>
              <w:t>Value</w:t>
            </w:r>
          </w:p>
        </w:tc>
      </w:tr>
      <w:tr w14:paraId="1E293954">
        <w:trPr>
          <w:jc w:val="center"/>
        </w:trPr>
        <w:tc>
          <w:tcPr>
            <w:tcW w:w="4608" w:type="dxa"/>
            <w:shd w:val="clear" w:color="auto" w:fill="F0F4F8"/>
          </w:tcPr>
          <w:p w14:paraId="2B7E57FB">
            <w:pPr>
              <w:jc w:val="center"/>
            </w:pPr>
            <w:r>
              <w:rPr>
                <w:sz w:val="20"/>
              </w:rPr>
              <w:t>RAM</w:t>
            </w:r>
          </w:p>
        </w:tc>
        <w:tc>
          <w:tcPr>
            <w:tcW w:w="3312" w:type="dxa"/>
            <w:shd w:val="clear" w:color="auto" w:fill="F0F4F8"/>
          </w:tcPr>
          <w:p w14:paraId="19CCF6F1">
            <w:pPr>
              <w:jc w:val="center"/>
            </w:pPr>
            <w:r>
              <w:rPr>
                <w:sz w:val="20"/>
              </w:rPr>
              <w:t>0.7430</w:t>
            </w:r>
          </w:p>
        </w:tc>
      </w:tr>
      <w:tr w14:paraId="686AEA96">
        <w:trPr>
          <w:jc w:val="center"/>
        </w:trPr>
        <w:tc>
          <w:tcPr>
            <w:tcW w:w="4608" w:type="dxa"/>
          </w:tcPr>
          <w:p w14:paraId="66AC60AB">
            <w:pPr>
              <w:jc w:val="center"/>
            </w:pPr>
            <w:r>
              <w:rPr>
                <w:sz w:val="20"/>
              </w:rPr>
              <w:t>X_res</w:t>
            </w:r>
          </w:p>
        </w:tc>
        <w:tc>
          <w:tcPr>
            <w:tcW w:w="3312" w:type="dxa"/>
          </w:tcPr>
          <w:p w14:paraId="2F61181C">
            <w:pPr>
              <w:jc w:val="center"/>
            </w:pPr>
            <w:r>
              <w:rPr>
                <w:sz w:val="20"/>
              </w:rPr>
              <w:t>0.5565</w:t>
            </w:r>
          </w:p>
        </w:tc>
      </w:tr>
      <w:tr w14:paraId="29C21AAB">
        <w:trPr>
          <w:jc w:val="center"/>
        </w:trPr>
        <w:tc>
          <w:tcPr>
            <w:tcW w:w="4608" w:type="dxa"/>
            <w:shd w:val="clear" w:color="auto" w:fill="F0F4F8"/>
          </w:tcPr>
          <w:p w14:paraId="2641DF2A">
            <w:pPr>
              <w:jc w:val="center"/>
            </w:pPr>
            <w:r>
              <w:rPr>
                <w:sz w:val="20"/>
              </w:rPr>
              <w:t>Y_res</w:t>
            </w:r>
          </w:p>
        </w:tc>
        <w:tc>
          <w:tcPr>
            <w:tcW w:w="3312" w:type="dxa"/>
            <w:shd w:val="clear" w:color="auto" w:fill="F0F4F8"/>
          </w:tcPr>
          <w:p w14:paraId="666BE3F2">
            <w:pPr>
              <w:jc w:val="center"/>
            </w:pPr>
            <w:r>
              <w:rPr>
                <w:sz w:val="20"/>
              </w:rPr>
              <w:t>0.5528</w:t>
            </w:r>
          </w:p>
        </w:tc>
      </w:tr>
      <w:tr w14:paraId="04DCEE10">
        <w:trPr>
          <w:jc w:val="center"/>
        </w:trPr>
        <w:tc>
          <w:tcPr>
            <w:tcW w:w="4608" w:type="dxa"/>
          </w:tcPr>
          <w:p w14:paraId="371D379D">
            <w:pPr>
              <w:jc w:val="center"/>
            </w:pPr>
            <w:r>
              <w:rPr>
                <w:sz w:val="20"/>
              </w:rPr>
              <w:t>PPI</w:t>
            </w:r>
          </w:p>
        </w:tc>
        <w:tc>
          <w:tcPr>
            <w:tcW w:w="3312" w:type="dxa"/>
          </w:tcPr>
          <w:p w14:paraId="020FF144">
            <w:pPr>
              <w:jc w:val="center"/>
            </w:pPr>
            <w:r>
              <w:rPr>
                <w:sz w:val="20"/>
              </w:rPr>
              <w:t>0.4735</w:t>
            </w:r>
          </w:p>
        </w:tc>
      </w:tr>
      <w:tr w14:paraId="4D64852E">
        <w:trPr>
          <w:jc w:val="center"/>
        </w:trPr>
        <w:tc>
          <w:tcPr>
            <w:tcW w:w="4608" w:type="dxa"/>
            <w:shd w:val="clear" w:color="auto" w:fill="F0F4F8"/>
          </w:tcPr>
          <w:p w14:paraId="2531FD5E">
            <w:pPr>
              <w:jc w:val="center"/>
            </w:pPr>
            <w:r>
              <w:rPr>
                <w:sz w:val="20"/>
              </w:rPr>
              <w:t>Is_Gaming_Laptop</w:t>
            </w:r>
          </w:p>
        </w:tc>
        <w:tc>
          <w:tcPr>
            <w:tcW w:w="3312" w:type="dxa"/>
            <w:shd w:val="clear" w:color="auto" w:fill="F0F4F8"/>
          </w:tcPr>
          <w:p w14:paraId="7C787C13">
            <w:pPr>
              <w:jc w:val="center"/>
            </w:pPr>
            <w:r>
              <w:rPr>
                <w:sz w:val="20"/>
              </w:rPr>
              <w:t>0.3758</w:t>
            </w:r>
          </w:p>
        </w:tc>
      </w:tr>
      <w:tr w14:paraId="775BAA45">
        <w:trPr>
          <w:jc w:val="center"/>
        </w:trPr>
        <w:tc>
          <w:tcPr>
            <w:tcW w:w="4608" w:type="dxa"/>
          </w:tcPr>
          <w:p w14:paraId="6E2E4352">
            <w:pPr>
              <w:jc w:val="center"/>
            </w:pPr>
            <w:r>
              <w:rPr>
                <w:sz w:val="20"/>
              </w:rPr>
              <w:t>IPS</w:t>
            </w:r>
          </w:p>
        </w:tc>
        <w:tc>
          <w:tcPr>
            <w:tcW w:w="3312" w:type="dxa"/>
          </w:tcPr>
          <w:p w14:paraId="36C15075">
            <w:pPr>
              <w:jc w:val="center"/>
            </w:pPr>
            <w:r>
              <w:rPr>
                <w:sz w:val="20"/>
              </w:rPr>
              <w:t>0.2522</w:t>
            </w:r>
          </w:p>
        </w:tc>
      </w:tr>
      <w:tr w14:paraId="5D11AD01">
        <w:trPr>
          <w:jc w:val="center"/>
        </w:trPr>
        <w:tc>
          <w:tcPr>
            <w:tcW w:w="4608" w:type="dxa"/>
            <w:shd w:val="clear" w:color="auto" w:fill="F0F4F8"/>
          </w:tcPr>
          <w:p w14:paraId="1F930E5C">
            <w:pPr>
              <w:jc w:val="center"/>
            </w:pPr>
            <w:r>
              <w:rPr>
                <w:sz w:val="20"/>
              </w:rPr>
              <w:t>Weight</w:t>
            </w:r>
          </w:p>
        </w:tc>
        <w:tc>
          <w:tcPr>
            <w:tcW w:w="3312" w:type="dxa"/>
            <w:shd w:val="clear" w:color="auto" w:fill="F0F4F8"/>
          </w:tcPr>
          <w:p w14:paraId="66D99BEC">
            <w:pPr>
              <w:jc w:val="center"/>
            </w:pPr>
            <w:r>
              <w:rPr>
                <w:sz w:val="20"/>
              </w:rPr>
              <w:t>0.2104</w:t>
            </w:r>
          </w:p>
        </w:tc>
      </w:tr>
      <w:tr w14:paraId="48F0F52C">
        <w:trPr>
          <w:jc w:val="center"/>
        </w:trPr>
        <w:tc>
          <w:tcPr>
            <w:tcW w:w="4608" w:type="dxa"/>
          </w:tcPr>
          <w:p w14:paraId="19DB7167">
            <w:pPr>
              <w:jc w:val="center"/>
            </w:pPr>
            <w:r>
              <w:rPr>
                <w:sz w:val="20"/>
              </w:rPr>
              <w:t>Touchscreen</w:t>
            </w:r>
          </w:p>
        </w:tc>
        <w:tc>
          <w:tcPr>
            <w:tcW w:w="3312" w:type="dxa"/>
          </w:tcPr>
          <w:p w14:paraId="5C6B949B">
            <w:pPr>
              <w:jc w:val="center"/>
            </w:pPr>
            <w:r>
              <w:rPr>
                <w:sz w:val="20"/>
              </w:rPr>
              <w:t>0.1912</w:t>
            </w:r>
          </w:p>
        </w:tc>
      </w:tr>
      <w:tr w14:paraId="6C0D935B">
        <w:trPr>
          <w:jc w:val="center"/>
        </w:trPr>
        <w:tc>
          <w:tcPr>
            <w:tcW w:w="4608" w:type="dxa"/>
            <w:shd w:val="clear" w:color="auto" w:fill="F0F4F8"/>
          </w:tcPr>
          <w:p w14:paraId="44C35C7E">
            <w:pPr>
              <w:jc w:val="center"/>
            </w:pPr>
            <w:r>
              <w:rPr>
                <w:sz w:val="20"/>
              </w:rPr>
              <w:t>Inches</w:t>
            </w:r>
          </w:p>
        </w:tc>
        <w:tc>
          <w:tcPr>
            <w:tcW w:w="3312" w:type="dxa"/>
            <w:shd w:val="clear" w:color="auto" w:fill="F0F4F8"/>
          </w:tcPr>
          <w:p w14:paraId="250F1CBB">
            <w:pPr>
              <w:jc w:val="center"/>
            </w:pPr>
            <w:r>
              <w:rPr>
                <w:sz w:val="20"/>
              </w:rPr>
              <w:t>0.0682</w:t>
            </w:r>
          </w:p>
        </w:tc>
      </w:tr>
    </w:tbl>
    <w:p w14:paraId="39009887"/>
    <w:tbl>
      <w:tblPr>
        <w:tblStyle w:val="12"/>
        <w:tblW w:w="0" w:type="auto"/>
        <w:jc w:val="center"/>
        <w:tblLayout w:type="autofit"/>
        <w:tblCellMar>
          <w:top w:w="0" w:type="dxa"/>
          <w:left w:w="108" w:type="dxa"/>
          <w:bottom w:w="0" w:type="dxa"/>
          <w:right w:w="108" w:type="dxa"/>
        </w:tblCellMar>
      </w:tblPr>
      <w:tblGrid>
        <w:gridCol w:w="8640"/>
      </w:tblGrid>
      <w:tr w14:paraId="68331441">
        <w:trPr>
          <w:jc w:val="center"/>
        </w:trPr>
        <w:tc>
          <w:tcPr>
            <w:tcW w:w="8640" w:type="dxa"/>
            <w:tcBorders>
              <w:top w:val="nil"/>
              <w:left w:val="single" w:color="2E86C1" w:sz="24" w:space="0"/>
              <w:bottom w:val="nil"/>
              <w:right w:val="nil"/>
            </w:tcBorders>
            <w:shd w:val="clear" w:color="auto" w:fill="E8F4FD"/>
          </w:tcPr>
          <w:p w14:paraId="41A6626E">
            <w:r>
              <w:rPr>
                <w:b/>
                <w:color w:val="2C3E6B"/>
                <w:sz w:val="20"/>
              </w:rPr>
              <w:t>Comment</w:t>
            </w:r>
          </w:p>
          <w:p w14:paraId="529CFD6D">
            <w:pPr>
              <w:spacing w:after="80"/>
            </w:pPr>
            <w:r>
              <w:rPr>
                <w:color w:val="333333"/>
                <w:sz w:val="20"/>
              </w:rPr>
              <w:t>The correlation table confirms that the engineered resolution features (X_res, Y_res, PPI) are strong predictors and justifies their creation. Touchscreen (0.19) and IPS (0.25) are moderate but statistically significant — they represent premium display attributes consumers are willing to pay for. Inches (0.07) will contribute little to the model; however, we retain it because PPI depends on it and it may interact with other features.</w:t>
            </w:r>
          </w:p>
        </w:tc>
      </w:tr>
    </w:tbl>
    <w:p w14:paraId="7A042E83"/>
    <w:p w14:paraId="32C19289">
      <w:r>
        <w:br w:type="page"/>
      </w:r>
    </w:p>
    <w:p w14:paraId="25969236">
      <w:pPr>
        <w:pStyle w:val="2"/>
      </w:pPr>
      <w:r>
        <w:t>6. Model Implementation</w:t>
      </w:r>
    </w:p>
    <w:p w14:paraId="7D9FD36E">
      <w:pPr>
        <w:pBdr>
          <w:bottom w:val="single" w:color="2E86C1" w:sz="6" w:space="1"/>
        </w:pBdr>
        <w:jc w:val="center"/>
      </w:pPr>
    </w:p>
    <w:p w14:paraId="44C24127">
      <w:pPr>
        <w:pStyle w:val="3"/>
      </w:pPr>
      <w:r>
        <w:t>6.1 Model Selection Rationale</w:t>
      </w:r>
    </w:p>
    <w:p w14:paraId="270D2A00">
      <w:r>
        <w:t>Multiple Linear Regression was selected as the primary model for several reasons:</w:t>
      </w:r>
    </w:p>
    <w:p w14:paraId="7C94CACF">
      <w:pPr>
        <w:pStyle w:val="23"/>
      </w:pPr>
      <w:r>
        <w:rPr>
          <w:b/>
          <w:color w:val="2C3E6B"/>
        </w:rPr>
        <w:t>Suitability:</w:t>
      </w:r>
      <w:r>
        <w:t xml:space="preserve">  The target variable (price) is continuous, making regression appropriate.</w:t>
      </w:r>
    </w:p>
    <w:p w14:paraId="3763839C">
      <w:pPr>
        <w:pStyle w:val="23"/>
      </w:pPr>
      <w:r>
        <w:rPr>
          <w:b/>
          <w:color w:val="2C3E6B"/>
        </w:rPr>
        <w:t>Interpretability:</w:t>
      </w:r>
      <w:r>
        <w:t xml:space="preserve">  Coefficients directly indicate the INR-impact of each feature, enabling business interpretation.</w:t>
      </w:r>
    </w:p>
    <w:p w14:paraId="51FAB6C8">
      <w:pPr>
        <w:pStyle w:val="23"/>
      </w:pPr>
      <w:r>
        <w:rPr>
          <w:b/>
          <w:color w:val="2C3E6B"/>
        </w:rPr>
        <w:t>Baseline value:</w:t>
      </w:r>
      <w:r>
        <w:t xml:space="preserve">  It provides a robust reference point — if a linear model performs well, it suggests the underlying relationships are approximately linear.</w:t>
      </w:r>
    </w:p>
    <w:p w14:paraId="2A689075">
      <w:pPr>
        <w:pStyle w:val="23"/>
      </w:pPr>
      <w:r>
        <w:rPr>
          <w:b/>
          <w:color w:val="2C3E6B"/>
        </w:rPr>
        <w:t>Statistical inference:</w:t>
      </w:r>
      <w:r>
        <w:t xml:space="preserve">  Paired with OLS from statsmodels, we obtain p-values and confidence intervals for hypothesis testing.</w:t>
      </w:r>
    </w:p>
    <w:p w14:paraId="614235D6">
      <w:pPr>
        <w:pStyle w:val="3"/>
      </w:pPr>
      <w:r>
        <w:t>6.2 Training Pipeline</w:t>
      </w:r>
    </w:p>
    <w:p w14:paraId="2DEEF58F">
      <w:pPr>
        <w:pStyle w:val="23"/>
      </w:pPr>
      <w:r>
        <w:rPr>
          <w:b/>
          <w:color w:val="2C3E6B"/>
        </w:rPr>
        <w:t>Step 1:</w:t>
      </w:r>
      <w:r>
        <w:t xml:space="preserve">  Load the model-ready dataset (1,303 records, 18 features).</w:t>
      </w:r>
    </w:p>
    <w:p w14:paraId="291920F3">
      <w:pPr>
        <w:pStyle w:val="23"/>
      </w:pPr>
      <w:r>
        <w:rPr>
          <w:b/>
          <w:color w:val="2C3E6B"/>
        </w:rPr>
        <w:t>Step 2:</w:t>
      </w:r>
      <w:r>
        <w:t xml:space="preserve">  Define features (X) and target (y = Price).</w:t>
      </w:r>
    </w:p>
    <w:p w14:paraId="04BBDAC8">
      <w:pPr>
        <w:pStyle w:val="23"/>
      </w:pPr>
      <w:r>
        <w:rPr>
          <w:b/>
          <w:color w:val="2C3E6B"/>
        </w:rPr>
        <w:t>Step 3:</w:t>
      </w:r>
      <w:r>
        <w:t xml:space="preserve">  One-hot encode all categorical features using pd.get_dummies(drop_first=True), resulting in 352 columns.</w:t>
      </w:r>
    </w:p>
    <w:p w14:paraId="67887BD7">
      <w:pPr>
        <w:pStyle w:val="23"/>
      </w:pPr>
      <w:r>
        <w:rPr>
          <w:b/>
          <w:color w:val="2C3E6B"/>
        </w:rPr>
        <w:t>Step 4:</w:t>
      </w:r>
      <w:r>
        <w:t xml:space="preserve">  Split into training (80%) and test (20%) sets with train_test_split (random_state=42).</w:t>
      </w:r>
    </w:p>
    <w:p w14:paraId="07A927CD">
      <w:pPr>
        <w:pStyle w:val="23"/>
      </w:pPr>
      <w:r>
        <w:rPr>
          <w:b/>
          <w:color w:val="2C3E6B"/>
        </w:rPr>
        <w:t>Step 5:</w:t>
      </w:r>
      <w:r>
        <w:t xml:space="preserve">  Apply StandardScaler to all features to normalise the input space.</w:t>
      </w:r>
    </w:p>
    <w:p w14:paraId="52FA414E">
      <w:pPr>
        <w:pStyle w:val="23"/>
      </w:pPr>
      <w:r>
        <w:rPr>
          <w:b/>
          <w:color w:val="2C3E6B"/>
        </w:rPr>
        <w:t>Step 6:</w:t>
      </w:r>
      <w:r>
        <w:t xml:space="preserve">  Fit sklearn's LinearRegression on the scaled training data.</w:t>
      </w:r>
    </w:p>
    <w:p w14:paraId="096B3FD4">
      <w:pPr>
        <w:pStyle w:val="23"/>
      </w:pPr>
      <w:r>
        <w:rPr>
          <w:b/>
          <w:color w:val="2C3E6B"/>
        </w:rPr>
        <w:t>Step 7:</w:t>
      </w:r>
      <w:r>
        <w:t xml:space="preserve">  Predict on the scaled test data and evaluate using MAE, RMSE, and R-squared.</w:t>
      </w:r>
    </w:p>
    <w:tbl>
      <w:tblPr>
        <w:tblStyle w:val="12"/>
        <w:tblW w:w="0" w:type="auto"/>
        <w:jc w:val="center"/>
        <w:tblLayout w:type="autofit"/>
        <w:tblCellMar>
          <w:top w:w="0" w:type="dxa"/>
          <w:left w:w="108" w:type="dxa"/>
          <w:bottom w:w="0" w:type="dxa"/>
          <w:right w:w="108" w:type="dxa"/>
        </w:tblCellMar>
      </w:tblPr>
      <w:tblGrid>
        <w:gridCol w:w="8640"/>
      </w:tblGrid>
      <w:tr w14:paraId="45A27D00">
        <w:trPr>
          <w:jc w:val="center"/>
        </w:trPr>
        <w:tc>
          <w:tcPr>
            <w:tcW w:w="8640" w:type="dxa"/>
            <w:tcBorders>
              <w:top w:val="nil"/>
              <w:left w:val="single" w:color="2E86C1" w:sz="24" w:space="0"/>
              <w:bottom w:val="nil"/>
              <w:right w:val="nil"/>
            </w:tcBorders>
            <w:shd w:val="clear" w:color="auto" w:fill="E8F4FD"/>
          </w:tcPr>
          <w:p w14:paraId="14BDB742">
            <w:r>
              <w:rPr>
                <w:b/>
                <w:color w:val="2C3E6B"/>
                <w:sz w:val="20"/>
              </w:rPr>
              <w:t>Comment</w:t>
            </w:r>
          </w:p>
          <w:p w14:paraId="09BFBF0F">
            <w:pPr>
              <w:spacing w:after="80"/>
            </w:pPr>
            <w:r>
              <w:rPr>
                <w:color w:val="333333"/>
                <w:sz w:val="20"/>
              </w:rPr>
              <w:t>The one-hot encoding step is the primary source of dimensionality expansion (18 to 352 features), driven by high-cardinality columns like Company, CPU model, and GPU model. StandardScaler is applied to ensure that features with large numeric ranges (e.g., resolution in pixels) do not dominate the regression coefficients. The 80/20 split provides 255 unseen test samples — sufficient for a reliable performance estimate.</w:t>
            </w:r>
          </w:p>
        </w:tc>
      </w:tr>
    </w:tbl>
    <w:p w14:paraId="0550B551"/>
    <w:p w14:paraId="1438442D"/>
    <w:p w14:paraId="6F4853E6"/>
    <w:p w14:paraId="388CBCC8"/>
    <w:p w14:paraId="15682307">
      <w:pPr>
        <w:pStyle w:val="3"/>
      </w:pPr>
      <w:r>
        <w:t>6.3 Data Split Summary</w:t>
      </w:r>
    </w:p>
    <w:tbl>
      <w:tblPr>
        <w:tblStyle w:val="12"/>
        <w:tblW w:w="0" w:type="auto"/>
        <w:jc w:val="center"/>
        <w:tblLayout w:type="autofit"/>
        <w:tblCellMar>
          <w:top w:w="0" w:type="dxa"/>
          <w:left w:w="108" w:type="dxa"/>
          <w:bottom w:w="0" w:type="dxa"/>
          <w:right w:w="108" w:type="dxa"/>
        </w:tblCellMar>
      </w:tblPr>
      <w:tblGrid>
        <w:gridCol w:w="4608"/>
        <w:gridCol w:w="3312"/>
      </w:tblGrid>
      <w:tr w14:paraId="10B98287">
        <w:trPr>
          <w:jc w:val="center"/>
        </w:trPr>
        <w:tc>
          <w:tcPr>
            <w:tcW w:w="4608" w:type="dxa"/>
            <w:shd w:val="clear" w:color="auto" w:fill="1A2E4A"/>
          </w:tcPr>
          <w:p w14:paraId="790F677B">
            <w:pPr>
              <w:jc w:val="center"/>
            </w:pPr>
            <w:r>
              <w:rPr>
                <w:b/>
                <w:color w:val="FFFFFF"/>
                <w:sz w:val="20"/>
              </w:rPr>
              <w:t>Metric</w:t>
            </w:r>
          </w:p>
        </w:tc>
        <w:tc>
          <w:tcPr>
            <w:tcW w:w="3312" w:type="dxa"/>
            <w:shd w:val="clear" w:color="auto" w:fill="1A2E4A"/>
          </w:tcPr>
          <w:p w14:paraId="7FC2EAAA">
            <w:pPr>
              <w:jc w:val="center"/>
            </w:pPr>
            <w:r>
              <w:rPr>
                <w:b/>
                <w:color w:val="FFFFFF"/>
                <w:sz w:val="20"/>
              </w:rPr>
              <w:t>Value</w:t>
            </w:r>
          </w:p>
        </w:tc>
      </w:tr>
      <w:tr w14:paraId="43319682">
        <w:trPr>
          <w:jc w:val="center"/>
        </w:trPr>
        <w:tc>
          <w:tcPr>
            <w:tcW w:w="4608" w:type="dxa"/>
            <w:shd w:val="clear" w:color="auto" w:fill="F0F4F8"/>
          </w:tcPr>
          <w:p w14:paraId="1D9A71C6">
            <w:pPr>
              <w:jc w:val="center"/>
            </w:pPr>
            <w:r>
              <w:rPr>
                <w:sz w:val="20"/>
              </w:rPr>
              <w:t>Training samples</w:t>
            </w:r>
          </w:p>
        </w:tc>
        <w:tc>
          <w:tcPr>
            <w:tcW w:w="3312" w:type="dxa"/>
            <w:shd w:val="clear" w:color="auto" w:fill="F0F4F8"/>
          </w:tcPr>
          <w:p w14:paraId="440DB20D">
            <w:pPr>
              <w:jc w:val="center"/>
            </w:pPr>
            <w:r>
              <w:rPr>
                <w:sz w:val="20"/>
              </w:rPr>
              <w:t>1,019 (80%)</w:t>
            </w:r>
          </w:p>
        </w:tc>
      </w:tr>
      <w:tr w14:paraId="2CCCF50B">
        <w:trPr>
          <w:jc w:val="center"/>
        </w:trPr>
        <w:tc>
          <w:tcPr>
            <w:tcW w:w="4608" w:type="dxa"/>
          </w:tcPr>
          <w:p w14:paraId="684E6309">
            <w:pPr>
              <w:jc w:val="center"/>
            </w:pPr>
            <w:r>
              <w:rPr>
                <w:sz w:val="20"/>
              </w:rPr>
              <w:t>Test samples</w:t>
            </w:r>
          </w:p>
        </w:tc>
        <w:tc>
          <w:tcPr>
            <w:tcW w:w="3312" w:type="dxa"/>
          </w:tcPr>
          <w:p w14:paraId="05658184">
            <w:pPr>
              <w:jc w:val="center"/>
            </w:pPr>
            <w:r>
              <w:rPr>
                <w:sz w:val="20"/>
              </w:rPr>
              <w:t>255 (20%)</w:t>
            </w:r>
          </w:p>
        </w:tc>
      </w:tr>
      <w:tr w14:paraId="73830BE5">
        <w:trPr>
          <w:jc w:val="center"/>
        </w:trPr>
        <w:tc>
          <w:tcPr>
            <w:tcW w:w="4608" w:type="dxa"/>
            <w:shd w:val="clear" w:color="auto" w:fill="F0F4F8"/>
          </w:tcPr>
          <w:p w14:paraId="745F3E8E">
            <w:pPr>
              <w:jc w:val="center"/>
            </w:pPr>
            <w:r>
              <w:rPr>
                <w:sz w:val="20"/>
              </w:rPr>
              <w:t>Features after encoding</w:t>
            </w:r>
          </w:p>
        </w:tc>
        <w:tc>
          <w:tcPr>
            <w:tcW w:w="3312" w:type="dxa"/>
            <w:shd w:val="clear" w:color="auto" w:fill="F0F4F8"/>
          </w:tcPr>
          <w:p w14:paraId="6E17B1F3">
            <w:pPr>
              <w:jc w:val="center"/>
            </w:pPr>
            <w:r>
              <w:rPr>
                <w:sz w:val="20"/>
              </w:rPr>
              <w:t>352</w:t>
            </w:r>
          </w:p>
        </w:tc>
      </w:tr>
      <w:tr w14:paraId="21006642">
        <w:trPr>
          <w:jc w:val="center"/>
        </w:trPr>
        <w:tc>
          <w:tcPr>
            <w:tcW w:w="4608" w:type="dxa"/>
          </w:tcPr>
          <w:p w14:paraId="0728704B">
            <w:pPr>
              <w:jc w:val="center"/>
            </w:pPr>
            <w:r>
              <w:rPr>
                <w:sz w:val="20"/>
              </w:rPr>
              <w:t>Random state</w:t>
            </w:r>
          </w:p>
        </w:tc>
        <w:tc>
          <w:tcPr>
            <w:tcW w:w="3312" w:type="dxa"/>
          </w:tcPr>
          <w:p w14:paraId="5D5F8656">
            <w:pPr>
              <w:jc w:val="center"/>
            </w:pPr>
            <w:r>
              <w:rPr>
                <w:sz w:val="20"/>
              </w:rPr>
              <w:t>42</w:t>
            </w:r>
          </w:p>
        </w:tc>
      </w:tr>
      <w:tr w14:paraId="4690F21C">
        <w:trPr>
          <w:jc w:val="center"/>
        </w:trPr>
        <w:tc>
          <w:tcPr>
            <w:tcW w:w="4608" w:type="dxa"/>
            <w:shd w:val="clear" w:color="auto" w:fill="F0F4F8"/>
          </w:tcPr>
          <w:p w14:paraId="5F87479D">
            <w:pPr>
              <w:jc w:val="center"/>
            </w:pPr>
            <w:r>
              <w:rPr>
                <w:sz w:val="20"/>
              </w:rPr>
              <w:t>Scaling method</w:t>
            </w:r>
          </w:p>
        </w:tc>
        <w:tc>
          <w:tcPr>
            <w:tcW w:w="3312" w:type="dxa"/>
            <w:shd w:val="clear" w:color="auto" w:fill="F0F4F8"/>
          </w:tcPr>
          <w:p w14:paraId="0BDFFC52">
            <w:pPr>
              <w:jc w:val="center"/>
            </w:pPr>
            <w:r>
              <w:rPr>
                <w:sz w:val="20"/>
              </w:rPr>
              <w:t>StandardScaler</w:t>
            </w:r>
          </w:p>
        </w:tc>
      </w:tr>
    </w:tbl>
    <w:p w14:paraId="3AB67AF4"/>
    <w:p w14:paraId="21C09E54">
      <w:r>
        <w:br w:type="page"/>
      </w:r>
    </w:p>
    <w:p w14:paraId="0054FD99">
      <w:pPr>
        <w:pStyle w:val="2"/>
      </w:pPr>
      <w:r>
        <w:t>7. Results &amp; Performance Metrics</w:t>
      </w:r>
    </w:p>
    <w:p w14:paraId="6BF3452F">
      <w:pPr>
        <w:pBdr>
          <w:bottom w:val="single" w:color="2E86C1" w:sz="6" w:space="1"/>
        </w:pBdr>
        <w:jc w:val="center"/>
      </w:pPr>
    </w:p>
    <w:p w14:paraId="3E9418F7">
      <w:pPr>
        <w:pStyle w:val="3"/>
      </w:pPr>
      <w:r>
        <w:t>7.1 Test Set Performance</w:t>
      </w:r>
    </w:p>
    <w:p w14:paraId="11745230">
      <w:r>
        <w:t>The trained model was evaluated on the 255 held-out test observations. The key performance metrics are summarised below.</w:t>
      </w:r>
    </w:p>
    <w:tbl>
      <w:tblPr>
        <w:tblStyle w:val="12"/>
        <w:tblW w:w="0" w:type="auto"/>
        <w:jc w:val="center"/>
        <w:tblLayout w:type="autofit"/>
        <w:tblCellMar>
          <w:top w:w="0" w:type="dxa"/>
          <w:left w:w="108" w:type="dxa"/>
          <w:bottom w:w="0" w:type="dxa"/>
          <w:right w:w="108" w:type="dxa"/>
        </w:tblCellMar>
      </w:tblPr>
      <w:tblGrid>
        <w:gridCol w:w="4608"/>
        <w:gridCol w:w="3312"/>
      </w:tblGrid>
      <w:tr w14:paraId="131C7A5E">
        <w:trPr>
          <w:jc w:val="center"/>
        </w:trPr>
        <w:tc>
          <w:tcPr>
            <w:tcW w:w="4608" w:type="dxa"/>
            <w:shd w:val="clear" w:color="auto" w:fill="1A2E4A"/>
          </w:tcPr>
          <w:p w14:paraId="731C5BFA">
            <w:pPr>
              <w:jc w:val="center"/>
            </w:pPr>
            <w:r>
              <w:rPr>
                <w:b/>
                <w:color w:val="FFFFFF"/>
                <w:sz w:val="20"/>
              </w:rPr>
              <w:t>Metric</w:t>
            </w:r>
          </w:p>
        </w:tc>
        <w:tc>
          <w:tcPr>
            <w:tcW w:w="3312" w:type="dxa"/>
            <w:shd w:val="clear" w:color="auto" w:fill="1A2E4A"/>
          </w:tcPr>
          <w:p w14:paraId="7CC60A10">
            <w:pPr>
              <w:jc w:val="center"/>
            </w:pPr>
            <w:r>
              <w:rPr>
                <w:b/>
                <w:color w:val="FFFFFF"/>
                <w:sz w:val="20"/>
              </w:rPr>
              <w:t>Value</w:t>
            </w:r>
          </w:p>
        </w:tc>
      </w:tr>
      <w:tr w14:paraId="2D5A4B56">
        <w:trPr>
          <w:jc w:val="center"/>
        </w:trPr>
        <w:tc>
          <w:tcPr>
            <w:tcW w:w="4608" w:type="dxa"/>
            <w:shd w:val="clear" w:color="auto" w:fill="F0F4F8"/>
          </w:tcPr>
          <w:p w14:paraId="0494A36B">
            <w:pPr>
              <w:jc w:val="center"/>
            </w:pPr>
            <w:r>
              <w:rPr>
                <w:sz w:val="20"/>
              </w:rPr>
              <w:t>Mean Absolute Error (MAE)</w:t>
            </w:r>
          </w:p>
        </w:tc>
        <w:tc>
          <w:tcPr>
            <w:tcW w:w="3312" w:type="dxa"/>
            <w:shd w:val="clear" w:color="auto" w:fill="F0F4F8"/>
          </w:tcPr>
          <w:p w14:paraId="5B54DC79">
            <w:pPr>
              <w:jc w:val="center"/>
            </w:pPr>
            <w:r>
              <w:rPr>
                <w:sz w:val="20"/>
              </w:rPr>
              <w:t>11,231.90 INR</w:t>
            </w:r>
          </w:p>
        </w:tc>
      </w:tr>
      <w:tr w14:paraId="4BF48C84">
        <w:trPr>
          <w:jc w:val="center"/>
        </w:trPr>
        <w:tc>
          <w:tcPr>
            <w:tcW w:w="4608" w:type="dxa"/>
          </w:tcPr>
          <w:p w14:paraId="014BA785">
            <w:pPr>
              <w:jc w:val="center"/>
            </w:pPr>
            <w:r>
              <w:rPr>
                <w:sz w:val="20"/>
              </w:rPr>
              <w:t>Mean Squared Error (MSE)</w:t>
            </w:r>
          </w:p>
        </w:tc>
        <w:tc>
          <w:tcPr>
            <w:tcW w:w="3312" w:type="dxa"/>
          </w:tcPr>
          <w:p w14:paraId="5A816B59">
            <w:pPr>
              <w:jc w:val="center"/>
            </w:pPr>
            <w:r>
              <w:rPr>
                <w:sz w:val="20"/>
              </w:rPr>
              <w:t>316,649,260.38</w:t>
            </w:r>
          </w:p>
        </w:tc>
      </w:tr>
      <w:tr w14:paraId="5D0F5C22">
        <w:trPr>
          <w:jc w:val="center"/>
        </w:trPr>
        <w:tc>
          <w:tcPr>
            <w:tcW w:w="4608" w:type="dxa"/>
            <w:shd w:val="clear" w:color="auto" w:fill="F0F4F8"/>
          </w:tcPr>
          <w:p w14:paraId="1E3E04F5">
            <w:pPr>
              <w:jc w:val="center"/>
            </w:pPr>
            <w:r>
              <w:rPr>
                <w:sz w:val="20"/>
              </w:rPr>
              <w:t>Root Mean Squared Error (RMSE)</w:t>
            </w:r>
          </w:p>
        </w:tc>
        <w:tc>
          <w:tcPr>
            <w:tcW w:w="3312" w:type="dxa"/>
            <w:shd w:val="clear" w:color="auto" w:fill="F0F4F8"/>
          </w:tcPr>
          <w:p w14:paraId="474297D0">
            <w:pPr>
              <w:jc w:val="center"/>
            </w:pPr>
            <w:r>
              <w:rPr>
                <w:sz w:val="20"/>
              </w:rPr>
              <w:t>17,794.64 INR</w:t>
            </w:r>
          </w:p>
        </w:tc>
      </w:tr>
      <w:tr w14:paraId="700F1123">
        <w:trPr>
          <w:jc w:val="center"/>
        </w:trPr>
        <w:tc>
          <w:tcPr>
            <w:tcW w:w="4608" w:type="dxa"/>
          </w:tcPr>
          <w:p w14:paraId="64C4615A">
            <w:pPr>
              <w:jc w:val="center"/>
            </w:pPr>
            <w:r>
              <w:rPr>
                <w:sz w:val="20"/>
              </w:rPr>
              <w:t>R-squared</w:t>
            </w:r>
          </w:p>
        </w:tc>
        <w:tc>
          <w:tcPr>
            <w:tcW w:w="3312" w:type="dxa"/>
          </w:tcPr>
          <w:p w14:paraId="2769871B">
            <w:pPr>
              <w:jc w:val="center"/>
            </w:pPr>
            <w:r>
              <w:rPr>
                <w:sz w:val="20"/>
              </w:rPr>
              <w:t>0.8152</w:t>
            </w:r>
          </w:p>
        </w:tc>
      </w:tr>
    </w:tbl>
    <w:p w14:paraId="17A3759C"/>
    <w:tbl>
      <w:tblPr>
        <w:tblStyle w:val="12"/>
        <w:tblW w:w="0" w:type="auto"/>
        <w:jc w:val="center"/>
        <w:tblLayout w:type="autofit"/>
        <w:tblCellMar>
          <w:top w:w="0" w:type="dxa"/>
          <w:left w:w="108" w:type="dxa"/>
          <w:bottom w:w="0" w:type="dxa"/>
          <w:right w:w="108" w:type="dxa"/>
        </w:tblCellMar>
      </w:tblPr>
      <w:tblGrid>
        <w:gridCol w:w="8640"/>
      </w:tblGrid>
      <w:tr w14:paraId="6D8819EB">
        <w:trPr>
          <w:jc w:val="center"/>
        </w:trPr>
        <w:tc>
          <w:tcPr>
            <w:tcW w:w="8640" w:type="dxa"/>
            <w:tcBorders>
              <w:top w:val="nil"/>
              <w:left w:val="single" w:color="2E86C1" w:sz="24" w:space="0"/>
              <w:bottom w:val="nil"/>
              <w:right w:val="nil"/>
            </w:tcBorders>
            <w:shd w:val="clear" w:color="auto" w:fill="E8F8E8"/>
          </w:tcPr>
          <w:p w14:paraId="484825F4">
            <w:r>
              <w:rPr>
                <w:b/>
                <w:color w:val="2C3E6B"/>
                <w:sz w:val="20"/>
              </w:rPr>
              <w:t>Key Finding</w:t>
            </w:r>
          </w:p>
          <w:p w14:paraId="1214F496">
            <w:pPr>
              <w:spacing w:after="80"/>
            </w:pPr>
            <w:r>
              <w:rPr>
                <w:color w:val="333333"/>
                <w:sz w:val="20"/>
              </w:rPr>
              <w:t>An R-squared of 0.8152 means the model explains 81.5% of the variance in laptop prices using only technical specifications. The MAE of 11,232 INR corresponds to roughly 15-20% of the median laptop price — a meaningful but not negligible error. The gap between MAE and RMSE (11,232 vs 17,795 INR) indicates that a small number of large prediction errors are inflating the RMSE. These outlier errors likely correspond to premium/ultra-luxury laptops where the model struggles most.</w:t>
            </w:r>
          </w:p>
        </w:tc>
      </w:tr>
    </w:tbl>
    <w:p w14:paraId="222EB5E4"/>
    <w:p w14:paraId="56C97957"/>
    <w:p w14:paraId="4A5458DE"/>
    <w:p w14:paraId="4F864B85"/>
    <w:p w14:paraId="0735DC8D"/>
    <w:p w14:paraId="74AFFF41"/>
    <w:p w14:paraId="29685CDE"/>
    <w:p w14:paraId="799DA8E6"/>
    <w:p w14:paraId="221F3DCF"/>
    <w:p w14:paraId="48A89558"/>
    <w:p w14:paraId="03AF6918">
      <w:bookmarkStart w:id="0" w:name="_GoBack"/>
      <w:bookmarkEnd w:id="0"/>
    </w:p>
    <w:p w14:paraId="41B24640">
      <w:pPr>
        <w:pStyle w:val="3"/>
      </w:pPr>
      <w:r>
        <w:t>7.2 Actual vs Predicted Prices</w:t>
      </w:r>
    </w:p>
    <w:p w14:paraId="1FEEA15B">
      <w:r>
        <w:t>The scatter plot below directly compares actual prices against model predictions. Points falling on the diagonal line represent perfect predictions.</w:t>
      </w:r>
    </w:p>
    <w:p w14:paraId="3C0A272D">
      <w:pPr>
        <w:spacing w:before="160" w:after="40"/>
        <w:jc w:val="center"/>
      </w:pPr>
      <w:r>
        <w:drawing>
          <wp:inline distT="0" distB="0" distL="114300" distR="114300">
            <wp:extent cx="5029200" cy="3134360"/>
            <wp:effectExtent l="0" t="0" r="0"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029200" cy="3134559"/>
                    </a:xfrm>
                    <a:prstGeom prst="rect">
                      <a:avLst/>
                    </a:prstGeom>
                  </pic:spPr>
                </pic:pic>
              </a:graphicData>
            </a:graphic>
          </wp:inline>
        </w:drawing>
      </w:r>
    </w:p>
    <w:p w14:paraId="642E1D54">
      <w:pPr>
        <w:spacing w:after="200"/>
        <w:jc w:val="center"/>
      </w:pPr>
      <w:r>
        <w:rPr>
          <w:i/>
          <w:color w:val="666666"/>
          <w:sz w:val="18"/>
        </w:rPr>
        <w:t>Figure 12 — Actual vs Predicted Prices (Test Set)</w:t>
      </w:r>
    </w:p>
    <w:tbl>
      <w:tblPr>
        <w:tblStyle w:val="12"/>
        <w:tblW w:w="0" w:type="auto"/>
        <w:jc w:val="center"/>
        <w:tblLayout w:type="autofit"/>
        <w:tblCellMar>
          <w:top w:w="0" w:type="dxa"/>
          <w:left w:w="108" w:type="dxa"/>
          <w:bottom w:w="0" w:type="dxa"/>
          <w:right w:w="108" w:type="dxa"/>
        </w:tblCellMar>
      </w:tblPr>
      <w:tblGrid>
        <w:gridCol w:w="8640"/>
      </w:tblGrid>
      <w:tr w14:paraId="38DC20E2">
        <w:trPr>
          <w:jc w:val="center"/>
        </w:trPr>
        <w:tc>
          <w:tcPr>
            <w:tcW w:w="8640" w:type="dxa"/>
            <w:tcBorders>
              <w:top w:val="nil"/>
              <w:left w:val="single" w:color="2E86C1" w:sz="24" w:space="0"/>
              <w:bottom w:val="nil"/>
              <w:right w:val="nil"/>
            </w:tcBorders>
            <w:shd w:val="clear" w:color="auto" w:fill="E8F4FD"/>
          </w:tcPr>
          <w:p w14:paraId="744DE5C2">
            <w:r>
              <w:rPr>
                <w:b/>
                <w:color w:val="2C3E6B"/>
                <w:sz w:val="20"/>
              </w:rPr>
              <w:t>Interpretation</w:t>
            </w:r>
          </w:p>
          <w:p w14:paraId="1B9A0D8A">
            <w:pPr>
              <w:spacing w:after="80"/>
            </w:pPr>
            <w:r>
              <w:rPr>
                <w:color w:val="333333"/>
                <w:sz w:val="20"/>
              </w:rPr>
              <w:t>The points cluster tightly around the identity line for prices below 100,000 INR, confirming strong predictive accuracy in the mainstream market segment. Above 100,000 INR, the scatter increases, with the model tending to under-predict — a classic pattern in right-skewed price data. This means the model is most reliable for the majority of laptops (budget to mid-range) but should be used with caution for premium configurations.</w:t>
            </w:r>
          </w:p>
        </w:tc>
      </w:tr>
    </w:tbl>
    <w:p w14:paraId="78A4BEF8"/>
    <w:p w14:paraId="029B4258">
      <w:r>
        <w:br w:type="page"/>
      </w:r>
    </w:p>
    <w:p w14:paraId="51F2C4A8">
      <w:pPr>
        <w:pStyle w:val="2"/>
      </w:pPr>
      <w:r>
        <w:t>8. Model Diagnostics</w:t>
      </w:r>
    </w:p>
    <w:p w14:paraId="60E0A2A0">
      <w:pPr>
        <w:pBdr>
          <w:bottom w:val="single" w:color="2E86C1" w:sz="6" w:space="1"/>
        </w:pBdr>
        <w:jc w:val="center"/>
      </w:pPr>
    </w:p>
    <w:p w14:paraId="65C3580C">
      <w:r>
        <w:t>Diagnostic plots validate whether the assumptions of linear regression are satisfied: linearity, normality of residuals, homoscedasticity (constant variance), and independence.</w:t>
      </w:r>
    </w:p>
    <w:p w14:paraId="6C496616">
      <w:pPr>
        <w:pStyle w:val="3"/>
      </w:pPr>
      <w:r>
        <w:t>8.1 Comprehensive Diagnostic Panel (Final Report)</w:t>
      </w:r>
    </w:p>
    <w:p w14:paraId="338BC6A9">
      <w:pPr>
        <w:spacing w:before="160" w:after="40"/>
        <w:jc w:val="center"/>
      </w:pPr>
      <w:r>
        <w:drawing>
          <wp:inline distT="0" distB="0" distL="114300" distR="114300">
            <wp:extent cx="5303520" cy="3775710"/>
            <wp:effectExtent l="0" t="0" r="508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303520" cy="3776228"/>
                    </a:xfrm>
                    <a:prstGeom prst="rect">
                      <a:avLst/>
                    </a:prstGeom>
                  </pic:spPr>
                </pic:pic>
              </a:graphicData>
            </a:graphic>
          </wp:inline>
        </w:drawing>
      </w:r>
    </w:p>
    <w:p w14:paraId="18185910">
      <w:pPr>
        <w:spacing w:after="200"/>
        <w:jc w:val="center"/>
      </w:pPr>
      <w:r>
        <w:rPr>
          <w:i/>
          <w:color w:val="666666"/>
          <w:sz w:val="18"/>
        </w:rPr>
        <w:t>Figure 13 — Four-Panel Diagnostic: Residuals vs Predicted, Residual Distribution, QQ Plot, Actual vs Predicted</w:t>
      </w:r>
    </w:p>
    <w:p w14:paraId="0293A8D6">
      <w:pPr>
        <w:pStyle w:val="3"/>
      </w:pPr>
      <w:r>
        <w:t>8.2 Detailed Interpretation</w:t>
      </w:r>
    </w:p>
    <w:p w14:paraId="4B288C2E">
      <w:r>
        <w:rPr>
          <w:b/>
          <w:color w:val="2C3E6B"/>
        </w:rPr>
        <w:t xml:space="preserve">Residuals vs Predicted Values: </w:t>
      </w:r>
      <w:r>
        <w:t>The residuals scatter roughly randomly around zero for predicted values below 100,000 INR, indicating that the linearity assumption holds in this range. However, there is visible 'fan-out' (increasing spread) at higher predicted values, suggesting mild heteroscedasticity. This is expected with price data: expensive items have inherently more price variability. A variance-stabilising transformation (e.g., log-price) could mitigate this.</w:t>
      </w:r>
    </w:p>
    <w:p w14:paraId="39083D73">
      <w:r>
        <w:rPr>
          <w:b/>
          <w:color w:val="2C3E6B"/>
        </w:rPr>
        <w:t xml:space="preserve">Residual Distribution: </w:t>
      </w:r>
      <w:r>
        <w:t>The histogram of residuals is approximately bell-shaped and centred at zero, with a slight right tail. This near-normality is encouraging, as it validates the use of OLS standard errors and p-values. The mild right skew mirrors the skew in the original price distribution.</w:t>
      </w:r>
    </w:p>
    <w:p w14:paraId="3D5F077B">
      <w:r>
        <w:rPr>
          <w:b/>
          <w:color w:val="2C3E6B"/>
        </w:rPr>
        <w:t xml:space="preserve">QQ Plot: </w:t>
      </w:r>
      <w:r>
        <w:t>Residual quantiles closely follow the theoretical normal line across most of the range. Departures at the upper tail indicate some heavy-tailed behavior — a handful of luxury laptops generate disproportionately large prediction errors. While not ideal, this degree of departure is typical for financial/pricing data and does not invalidate the model.</w:t>
      </w:r>
    </w:p>
    <w:p w14:paraId="2082FDB2">
      <w:r>
        <w:rPr>
          <w:b/>
          <w:color w:val="2C3E6B"/>
        </w:rPr>
        <w:t xml:space="preserve">Actual vs Predicted: </w:t>
      </w:r>
      <w:r>
        <w:t>Points cluster along the 45-degree identity line, confirming strong overall predictive alignment. The tightest clustering occurs in the 20,000-80,000 INR range where the model has the most training data and the least inherent price variability.</w:t>
      </w:r>
    </w:p>
    <w:tbl>
      <w:tblPr>
        <w:tblStyle w:val="12"/>
        <w:tblW w:w="0" w:type="auto"/>
        <w:jc w:val="center"/>
        <w:tblLayout w:type="autofit"/>
        <w:tblCellMar>
          <w:top w:w="0" w:type="dxa"/>
          <w:left w:w="108" w:type="dxa"/>
          <w:bottom w:w="0" w:type="dxa"/>
          <w:right w:w="108" w:type="dxa"/>
        </w:tblCellMar>
      </w:tblPr>
      <w:tblGrid>
        <w:gridCol w:w="8640"/>
      </w:tblGrid>
      <w:tr w14:paraId="47324309">
        <w:trPr>
          <w:jc w:val="center"/>
        </w:trPr>
        <w:tc>
          <w:tcPr>
            <w:tcW w:w="8640" w:type="dxa"/>
            <w:tcBorders>
              <w:top w:val="nil"/>
              <w:left w:val="single" w:color="2E86C1" w:sz="24" w:space="0"/>
              <w:bottom w:val="nil"/>
              <w:right w:val="nil"/>
            </w:tcBorders>
            <w:shd w:val="clear" w:color="auto" w:fill="E8F4FD"/>
          </w:tcPr>
          <w:p w14:paraId="60E0899D">
            <w:r>
              <w:rPr>
                <w:b/>
                <w:color w:val="2C3E6B"/>
                <w:sz w:val="20"/>
              </w:rPr>
              <w:t>Comment</w:t>
            </w:r>
          </w:p>
          <w:p w14:paraId="02A5D4C4">
            <w:pPr>
              <w:spacing w:after="80"/>
            </w:pPr>
            <w:r>
              <w:rPr>
                <w:color w:val="333333"/>
                <w:sz w:val="20"/>
              </w:rPr>
              <w:t>Overall, the diagnostic panel shows that the linear regression assumptions are largely satisfied, with only mild violations (heteroscedasticity at the premium end, slight right-tail deviation in the QQ plot). These are common in pricing models and do not fundamentally undermine the model's validity — they simply indicate where to focus improvement efforts.</w:t>
            </w:r>
          </w:p>
        </w:tc>
      </w:tr>
    </w:tbl>
    <w:p w14:paraId="47B3BB62"/>
    <w:p w14:paraId="78336736">
      <w:pPr>
        <w:pStyle w:val="3"/>
      </w:pPr>
      <w:r>
        <w:t>8.3 Secondary Diagnostic Grid (Notebook 2)</w:t>
      </w:r>
    </w:p>
    <w:p w14:paraId="6FDB0C5B">
      <w:r>
        <w:t>A secondary model trained with a 70/30 sequential split produced additional diagnostic views, including feature coefficient analysis.</w:t>
      </w:r>
    </w:p>
    <w:p w14:paraId="569A41E9">
      <w:pPr>
        <w:spacing w:before="160" w:after="40"/>
        <w:jc w:val="center"/>
      </w:pPr>
      <w:r>
        <w:drawing>
          <wp:inline distT="0" distB="0" distL="114300" distR="114300">
            <wp:extent cx="5029200" cy="3759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029200" cy="3759200"/>
                    </a:xfrm>
                    <a:prstGeom prst="rect">
                      <a:avLst/>
                    </a:prstGeom>
                  </pic:spPr>
                </pic:pic>
              </a:graphicData>
            </a:graphic>
          </wp:inline>
        </w:drawing>
      </w:r>
    </w:p>
    <w:p w14:paraId="0D1AFD9B">
      <w:pPr>
        <w:spacing w:after="200"/>
        <w:jc w:val="center"/>
      </w:pPr>
      <w:r>
        <w:rPr>
          <w:i/>
          <w:color w:val="666666"/>
          <w:sz w:val="18"/>
        </w:rPr>
        <w:t>Figure 14 — Heatmap, Residual Distribution, Actual vs Predicted, Residuals vs Predicted</w:t>
      </w:r>
    </w:p>
    <w:p w14:paraId="57512232">
      <w:pPr>
        <w:spacing w:before="160" w:after="40"/>
        <w:jc w:val="center"/>
      </w:pPr>
      <w:r>
        <w:drawing>
          <wp:inline distT="0" distB="0" distL="114300" distR="114300">
            <wp:extent cx="5029200" cy="1536700"/>
            <wp:effectExtent l="0" t="0" r="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029200" cy="1536700"/>
                    </a:xfrm>
                    <a:prstGeom prst="rect">
                      <a:avLst/>
                    </a:prstGeom>
                  </pic:spPr>
                </pic:pic>
              </a:graphicData>
            </a:graphic>
          </wp:inline>
        </w:drawing>
      </w:r>
    </w:p>
    <w:p w14:paraId="4BAFE62C">
      <w:pPr>
        <w:spacing w:after="200"/>
        <w:jc w:val="center"/>
      </w:pPr>
      <w:r>
        <w:rPr>
          <w:i/>
          <w:color w:val="666666"/>
          <w:sz w:val="18"/>
        </w:rPr>
        <w:t>Figure 15 — QQ Plot of Residuals &amp; Top 15 Feature Coefficients</w:t>
      </w:r>
    </w:p>
    <w:tbl>
      <w:tblPr>
        <w:tblStyle w:val="12"/>
        <w:tblW w:w="0" w:type="auto"/>
        <w:jc w:val="center"/>
        <w:tblLayout w:type="autofit"/>
        <w:tblCellMar>
          <w:top w:w="0" w:type="dxa"/>
          <w:left w:w="108" w:type="dxa"/>
          <w:bottom w:w="0" w:type="dxa"/>
          <w:right w:w="108" w:type="dxa"/>
        </w:tblCellMar>
      </w:tblPr>
      <w:tblGrid>
        <w:gridCol w:w="8640"/>
      </w:tblGrid>
      <w:tr w14:paraId="12E2C918">
        <w:trPr>
          <w:jc w:val="center"/>
        </w:trPr>
        <w:tc>
          <w:tcPr>
            <w:tcW w:w="8640" w:type="dxa"/>
            <w:tcBorders>
              <w:top w:val="nil"/>
              <w:left w:val="single" w:color="2E86C1" w:sz="24" w:space="0"/>
              <w:bottom w:val="nil"/>
              <w:right w:val="nil"/>
            </w:tcBorders>
            <w:shd w:val="clear" w:color="auto" w:fill="E8F4FD"/>
          </w:tcPr>
          <w:p w14:paraId="1EAAC9E2">
            <w:r>
              <w:rPr>
                <w:b/>
                <w:color w:val="2C3E6B"/>
                <w:sz w:val="20"/>
              </w:rPr>
              <w:t>Interpretation</w:t>
            </w:r>
          </w:p>
          <w:p w14:paraId="19633D0B">
            <w:pPr>
              <w:spacing w:after="80"/>
            </w:pPr>
            <w:r>
              <w:rPr>
                <w:color w:val="333333"/>
                <w:sz w:val="20"/>
              </w:rPr>
              <w:t>The feature coefficient bar chart (Figure 15, right panel) is particularly informative. It shows that brand-related one-hot encoded variables (e.g., Razer, LG) and processor family (Intel Xeon) have the largest absolute coefficients, confirming that categorical features — not just numeric ones — play a critical role in determining price.</w:t>
            </w:r>
          </w:p>
        </w:tc>
      </w:tr>
    </w:tbl>
    <w:p w14:paraId="5EA290DD"/>
    <w:p w14:paraId="23149A8F">
      <w:pPr>
        <w:pStyle w:val="3"/>
      </w:pPr>
      <w:r>
        <w:t>8.4 Notebook 3 Diagnostics (70/30 Split)</w:t>
      </w:r>
    </w:p>
    <w:p w14:paraId="3956F15B">
      <w:pPr>
        <w:spacing w:before="160" w:after="40"/>
        <w:jc w:val="center"/>
      </w:pPr>
      <w:r>
        <w:drawing>
          <wp:inline distT="0" distB="0" distL="114300" distR="114300">
            <wp:extent cx="5029200" cy="1376680"/>
            <wp:effectExtent l="0" t="0" r="0" b="203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029200" cy="1376708"/>
                    </a:xfrm>
                    <a:prstGeom prst="rect">
                      <a:avLst/>
                    </a:prstGeom>
                  </pic:spPr>
                </pic:pic>
              </a:graphicData>
            </a:graphic>
          </wp:inline>
        </w:drawing>
      </w:r>
    </w:p>
    <w:p w14:paraId="48889FDC">
      <w:pPr>
        <w:spacing w:after="200"/>
        <w:jc w:val="center"/>
      </w:pPr>
      <w:r>
        <w:rPr>
          <w:i/>
          <w:color w:val="666666"/>
          <w:sz w:val="18"/>
        </w:rPr>
        <w:t>Figure 16 — Actual vs Predicted, Residual Distribution, QQ Plot (70/30 Split)</w:t>
      </w:r>
    </w:p>
    <w:tbl>
      <w:tblPr>
        <w:tblStyle w:val="12"/>
        <w:tblW w:w="0" w:type="auto"/>
        <w:jc w:val="center"/>
        <w:tblLayout w:type="autofit"/>
        <w:tblCellMar>
          <w:top w:w="0" w:type="dxa"/>
          <w:left w:w="108" w:type="dxa"/>
          <w:bottom w:w="0" w:type="dxa"/>
          <w:right w:w="108" w:type="dxa"/>
        </w:tblCellMar>
      </w:tblPr>
      <w:tblGrid>
        <w:gridCol w:w="8640"/>
      </w:tblGrid>
      <w:tr w14:paraId="1DFAB1E2">
        <w:trPr>
          <w:jc w:val="center"/>
        </w:trPr>
        <w:tc>
          <w:tcPr>
            <w:tcW w:w="8640" w:type="dxa"/>
            <w:tcBorders>
              <w:top w:val="nil"/>
              <w:left w:val="single" w:color="2E86C1" w:sz="24" w:space="0"/>
              <w:bottom w:val="nil"/>
              <w:right w:val="nil"/>
            </w:tcBorders>
            <w:shd w:val="clear" w:color="auto" w:fill="FFF8E1"/>
          </w:tcPr>
          <w:p w14:paraId="179833AB">
            <w:r>
              <w:rPr>
                <w:b/>
                <w:color w:val="2C3E6B"/>
                <w:sz w:val="20"/>
              </w:rPr>
              <w:t>Note</w:t>
            </w:r>
          </w:p>
          <w:p w14:paraId="65AC11DB">
            <w:pPr>
              <w:spacing w:after="80"/>
            </w:pPr>
            <w:r>
              <w:rPr>
                <w:color w:val="333333"/>
                <w:sz w:val="20"/>
              </w:rPr>
              <w:t>The 70/30 split model shows qualitatively similar diagnostic patterns to the 80/20 model, suggesting that the results are robust to the choice of split ratio. The slightly wider residual distribution is expected with more test points and fewer training points.</w:t>
            </w:r>
          </w:p>
        </w:tc>
      </w:tr>
    </w:tbl>
    <w:p w14:paraId="579CDF34"/>
    <w:p w14:paraId="5D01F946">
      <w:r>
        <w:br w:type="page"/>
      </w:r>
    </w:p>
    <w:p w14:paraId="0A3593F9">
      <w:pPr>
        <w:pStyle w:val="2"/>
      </w:pPr>
      <w:r>
        <w:t>9. OLS Statistical Validation</w:t>
      </w:r>
    </w:p>
    <w:p w14:paraId="66886385">
      <w:pPr>
        <w:pBdr>
          <w:bottom w:val="single" w:color="2E86C1" w:sz="6" w:space="1"/>
        </w:pBdr>
        <w:jc w:val="center"/>
      </w:pPr>
    </w:p>
    <w:p w14:paraId="12DD1B25">
      <w:r>
        <w:t>To complement the sklearn predictive model, an Ordinary Least Squares (OLS) regression was fitted using the statsmodels library. OLS provides inferential statistics — p-values, confidence intervals, and the F-statistic — that enable formal hypothesis testing.</w:t>
      </w:r>
    </w:p>
    <w:p w14:paraId="667C373F">
      <w:pPr>
        <w:pStyle w:val="3"/>
      </w:pPr>
      <w:r>
        <w:t>9.1 OLS Summary Statistics</w:t>
      </w:r>
    </w:p>
    <w:tbl>
      <w:tblPr>
        <w:tblStyle w:val="12"/>
        <w:tblW w:w="0" w:type="auto"/>
        <w:jc w:val="center"/>
        <w:tblLayout w:type="autofit"/>
        <w:tblCellMar>
          <w:top w:w="0" w:type="dxa"/>
          <w:left w:w="108" w:type="dxa"/>
          <w:bottom w:w="0" w:type="dxa"/>
          <w:right w:w="108" w:type="dxa"/>
        </w:tblCellMar>
      </w:tblPr>
      <w:tblGrid>
        <w:gridCol w:w="4608"/>
        <w:gridCol w:w="3312"/>
      </w:tblGrid>
      <w:tr w14:paraId="4C71B284">
        <w:trPr>
          <w:jc w:val="center"/>
        </w:trPr>
        <w:tc>
          <w:tcPr>
            <w:tcW w:w="4608" w:type="dxa"/>
            <w:shd w:val="clear" w:color="auto" w:fill="1A2E4A"/>
          </w:tcPr>
          <w:p w14:paraId="0CAD2879">
            <w:pPr>
              <w:jc w:val="center"/>
            </w:pPr>
            <w:r>
              <w:rPr>
                <w:b/>
                <w:color w:val="FFFFFF"/>
                <w:sz w:val="20"/>
              </w:rPr>
              <w:t>Metric</w:t>
            </w:r>
          </w:p>
        </w:tc>
        <w:tc>
          <w:tcPr>
            <w:tcW w:w="3312" w:type="dxa"/>
            <w:shd w:val="clear" w:color="auto" w:fill="1A2E4A"/>
          </w:tcPr>
          <w:p w14:paraId="594B57FA">
            <w:pPr>
              <w:jc w:val="center"/>
            </w:pPr>
            <w:r>
              <w:rPr>
                <w:b/>
                <w:color w:val="FFFFFF"/>
                <w:sz w:val="20"/>
              </w:rPr>
              <w:t>Value</w:t>
            </w:r>
          </w:p>
        </w:tc>
      </w:tr>
      <w:tr w14:paraId="3CAB7C06">
        <w:trPr>
          <w:jc w:val="center"/>
        </w:trPr>
        <w:tc>
          <w:tcPr>
            <w:tcW w:w="4608" w:type="dxa"/>
            <w:shd w:val="clear" w:color="auto" w:fill="F0F4F8"/>
          </w:tcPr>
          <w:p w14:paraId="65EF3A32">
            <w:pPr>
              <w:jc w:val="center"/>
            </w:pPr>
            <w:r>
              <w:rPr>
                <w:sz w:val="20"/>
              </w:rPr>
              <w:t>R-squared (training)</w:t>
            </w:r>
          </w:p>
        </w:tc>
        <w:tc>
          <w:tcPr>
            <w:tcW w:w="3312" w:type="dxa"/>
            <w:shd w:val="clear" w:color="auto" w:fill="F0F4F8"/>
          </w:tcPr>
          <w:p w14:paraId="0DC4FEE8">
            <w:pPr>
              <w:jc w:val="center"/>
            </w:pPr>
            <w:r>
              <w:rPr>
                <w:sz w:val="20"/>
              </w:rPr>
              <w:t>0.914</w:t>
            </w:r>
          </w:p>
        </w:tc>
      </w:tr>
      <w:tr w14:paraId="22B94863">
        <w:trPr>
          <w:jc w:val="center"/>
        </w:trPr>
        <w:tc>
          <w:tcPr>
            <w:tcW w:w="4608" w:type="dxa"/>
          </w:tcPr>
          <w:p w14:paraId="12EB5249">
            <w:pPr>
              <w:jc w:val="center"/>
            </w:pPr>
            <w:r>
              <w:rPr>
                <w:sz w:val="20"/>
              </w:rPr>
              <w:t>Adjusted R-squared (training)</w:t>
            </w:r>
          </w:p>
        </w:tc>
        <w:tc>
          <w:tcPr>
            <w:tcW w:w="3312" w:type="dxa"/>
          </w:tcPr>
          <w:p w14:paraId="3C74449B">
            <w:pPr>
              <w:jc w:val="center"/>
            </w:pPr>
            <w:r>
              <w:rPr>
                <w:sz w:val="20"/>
              </w:rPr>
              <w:t>0.881</w:t>
            </w:r>
          </w:p>
        </w:tc>
      </w:tr>
      <w:tr w14:paraId="7F7F3D16">
        <w:trPr>
          <w:jc w:val="center"/>
        </w:trPr>
        <w:tc>
          <w:tcPr>
            <w:tcW w:w="4608" w:type="dxa"/>
            <w:shd w:val="clear" w:color="auto" w:fill="F0F4F8"/>
          </w:tcPr>
          <w:p w14:paraId="56383279">
            <w:pPr>
              <w:jc w:val="center"/>
            </w:pPr>
            <w:r>
              <w:rPr>
                <w:sz w:val="20"/>
              </w:rPr>
              <w:t>F-statistic</w:t>
            </w:r>
          </w:p>
        </w:tc>
        <w:tc>
          <w:tcPr>
            <w:tcW w:w="3312" w:type="dxa"/>
            <w:shd w:val="clear" w:color="auto" w:fill="F0F4F8"/>
          </w:tcPr>
          <w:p w14:paraId="38705ECF">
            <w:pPr>
              <w:jc w:val="center"/>
            </w:pPr>
            <w:r>
              <w:rPr>
                <w:sz w:val="20"/>
              </w:rPr>
              <w:t>28.43</w:t>
            </w:r>
          </w:p>
        </w:tc>
      </w:tr>
      <w:tr w14:paraId="316C7E39">
        <w:trPr>
          <w:jc w:val="center"/>
        </w:trPr>
        <w:tc>
          <w:tcPr>
            <w:tcW w:w="4608" w:type="dxa"/>
          </w:tcPr>
          <w:p w14:paraId="5068F8DA">
            <w:pPr>
              <w:jc w:val="center"/>
            </w:pPr>
            <w:r>
              <w:rPr>
                <w:sz w:val="20"/>
              </w:rPr>
              <w:t>Prob (F-statistic)</w:t>
            </w:r>
          </w:p>
        </w:tc>
        <w:tc>
          <w:tcPr>
            <w:tcW w:w="3312" w:type="dxa"/>
          </w:tcPr>
          <w:p w14:paraId="3CB0C94A">
            <w:pPr>
              <w:jc w:val="center"/>
            </w:pPr>
            <w:r>
              <w:rPr>
                <w:sz w:val="20"/>
              </w:rPr>
              <w:t>~0.00</w:t>
            </w:r>
          </w:p>
        </w:tc>
      </w:tr>
      <w:tr w14:paraId="18639C4A">
        <w:trPr>
          <w:jc w:val="center"/>
        </w:trPr>
        <w:tc>
          <w:tcPr>
            <w:tcW w:w="4608" w:type="dxa"/>
            <w:shd w:val="clear" w:color="auto" w:fill="F0F4F8"/>
          </w:tcPr>
          <w:p w14:paraId="157988A3">
            <w:pPr>
              <w:jc w:val="center"/>
            </w:pPr>
            <w:r>
              <w:rPr>
                <w:sz w:val="20"/>
              </w:rPr>
              <w:t>RMSE (test)</w:t>
            </w:r>
          </w:p>
        </w:tc>
        <w:tc>
          <w:tcPr>
            <w:tcW w:w="3312" w:type="dxa"/>
            <w:shd w:val="clear" w:color="auto" w:fill="F0F4F8"/>
          </w:tcPr>
          <w:p w14:paraId="77637E42">
            <w:pPr>
              <w:jc w:val="center"/>
            </w:pPr>
            <w:r>
              <w:rPr>
                <w:sz w:val="20"/>
              </w:rPr>
              <w:t>17,794.64 INR</w:t>
            </w:r>
          </w:p>
        </w:tc>
      </w:tr>
      <w:tr w14:paraId="6E8214C3">
        <w:trPr>
          <w:jc w:val="center"/>
        </w:trPr>
        <w:tc>
          <w:tcPr>
            <w:tcW w:w="4608" w:type="dxa"/>
          </w:tcPr>
          <w:p w14:paraId="0443EB6E">
            <w:pPr>
              <w:jc w:val="center"/>
            </w:pPr>
            <w:r>
              <w:rPr>
                <w:sz w:val="20"/>
              </w:rPr>
              <w:t>R-squared (test)</w:t>
            </w:r>
          </w:p>
        </w:tc>
        <w:tc>
          <w:tcPr>
            <w:tcW w:w="3312" w:type="dxa"/>
          </w:tcPr>
          <w:p w14:paraId="43A030DF">
            <w:pPr>
              <w:jc w:val="center"/>
            </w:pPr>
            <w:r>
              <w:rPr>
                <w:sz w:val="20"/>
              </w:rPr>
              <w:t>0.8152</w:t>
            </w:r>
          </w:p>
        </w:tc>
      </w:tr>
    </w:tbl>
    <w:p w14:paraId="5AEE4513"/>
    <w:tbl>
      <w:tblPr>
        <w:tblStyle w:val="12"/>
        <w:tblW w:w="0" w:type="auto"/>
        <w:jc w:val="center"/>
        <w:tblLayout w:type="autofit"/>
        <w:tblCellMar>
          <w:top w:w="0" w:type="dxa"/>
          <w:left w:w="108" w:type="dxa"/>
          <w:bottom w:w="0" w:type="dxa"/>
          <w:right w:w="108" w:type="dxa"/>
        </w:tblCellMar>
      </w:tblPr>
      <w:tblGrid>
        <w:gridCol w:w="8640"/>
      </w:tblGrid>
      <w:tr w14:paraId="30EDC60B">
        <w:trPr>
          <w:jc w:val="center"/>
        </w:trPr>
        <w:tc>
          <w:tcPr>
            <w:tcW w:w="8640" w:type="dxa"/>
            <w:tcBorders>
              <w:top w:val="nil"/>
              <w:left w:val="single" w:color="2E86C1" w:sz="24" w:space="0"/>
              <w:bottom w:val="nil"/>
              <w:right w:val="nil"/>
            </w:tcBorders>
            <w:shd w:val="clear" w:color="auto" w:fill="E8F4FD"/>
          </w:tcPr>
          <w:p w14:paraId="4B75C477">
            <w:r>
              <w:rPr>
                <w:b/>
                <w:color w:val="2C3E6B"/>
                <w:sz w:val="20"/>
              </w:rPr>
              <w:t>Interpretation</w:t>
            </w:r>
          </w:p>
          <w:p w14:paraId="39D30531">
            <w:pPr>
              <w:spacing w:after="80"/>
            </w:pPr>
            <w:r>
              <w:rPr>
                <w:color w:val="333333"/>
                <w:sz w:val="20"/>
              </w:rPr>
              <w:t>The training R-squared of 0.914 vs test R-squared of 0.8152 reveals a ~10 percentage point gap, which indicates moderate overfitting. This is expected given 352 features with only 1,019 training samples — a feature-to-sample ratio of roughly 1:3. The Adjusted R-squared (0.881) partially accounts for this by penalising model complexity. Regularisation (Ridge or Lasso regression) would likely close this train-test gap.</w:t>
            </w:r>
          </w:p>
        </w:tc>
      </w:tr>
    </w:tbl>
    <w:p w14:paraId="416A280E"/>
    <w:p w14:paraId="1615C4DC">
      <w:pPr>
        <w:pStyle w:val="3"/>
      </w:pPr>
      <w:r>
        <w:t>9.2 Top Significant Predictors</w:t>
      </w:r>
    </w:p>
    <w:p w14:paraId="0AEE3252">
      <w:r>
        <w:t>The table below lists the most statistically significant features ranked by p-value.</w:t>
      </w:r>
    </w:p>
    <w:tbl>
      <w:tblPr>
        <w:tblStyle w:val="12"/>
        <w:tblW w:w="0" w:type="auto"/>
        <w:jc w:val="center"/>
        <w:tblLayout w:type="autofit"/>
        <w:tblCellMar>
          <w:top w:w="0" w:type="dxa"/>
          <w:left w:w="108" w:type="dxa"/>
          <w:bottom w:w="0" w:type="dxa"/>
          <w:right w:w="108" w:type="dxa"/>
        </w:tblCellMar>
      </w:tblPr>
      <w:tblGrid>
        <w:gridCol w:w="2880"/>
        <w:gridCol w:w="2880"/>
        <w:gridCol w:w="2880"/>
      </w:tblGrid>
      <w:tr w14:paraId="28B327D7">
        <w:trPr>
          <w:jc w:val="center"/>
        </w:trPr>
        <w:tc>
          <w:tcPr>
            <w:tcW w:w="2880" w:type="dxa"/>
            <w:shd w:val="clear" w:color="auto" w:fill="1A2E4A"/>
          </w:tcPr>
          <w:p w14:paraId="0333108E">
            <w:pPr>
              <w:jc w:val="center"/>
            </w:pPr>
            <w:r>
              <w:rPr>
                <w:b/>
                <w:color w:val="FFFFFF"/>
                <w:sz w:val="20"/>
              </w:rPr>
              <w:t>Feature</w:t>
            </w:r>
          </w:p>
        </w:tc>
        <w:tc>
          <w:tcPr>
            <w:tcW w:w="2880" w:type="dxa"/>
            <w:shd w:val="clear" w:color="auto" w:fill="1A2E4A"/>
          </w:tcPr>
          <w:p w14:paraId="112A4496">
            <w:pPr>
              <w:jc w:val="center"/>
            </w:pPr>
            <w:r>
              <w:rPr>
                <w:b/>
                <w:color w:val="FFFFFF"/>
                <w:sz w:val="20"/>
              </w:rPr>
              <w:t>Coefficient</w:t>
            </w:r>
          </w:p>
        </w:tc>
        <w:tc>
          <w:tcPr>
            <w:tcW w:w="2880" w:type="dxa"/>
            <w:shd w:val="clear" w:color="auto" w:fill="1A2E4A"/>
          </w:tcPr>
          <w:p w14:paraId="7A1982A8">
            <w:pPr>
              <w:jc w:val="center"/>
            </w:pPr>
            <w:r>
              <w:rPr>
                <w:b/>
                <w:color w:val="FFFFFF"/>
                <w:sz w:val="20"/>
              </w:rPr>
              <w:t>p-value</w:t>
            </w:r>
          </w:p>
        </w:tc>
      </w:tr>
      <w:tr w14:paraId="78CB4EDC">
        <w:trPr>
          <w:jc w:val="center"/>
        </w:trPr>
        <w:tc>
          <w:tcPr>
            <w:tcW w:w="2880" w:type="dxa"/>
            <w:shd w:val="clear" w:color="auto" w:fill="F0F4F8"/>
          </w:tcPr>
          <w:p w14:paraId="143FDA6E">
            <w:pPr>
              <w:jc w:val="center"/>
            </w:pPr>
            <w:r>
              <w:rPr>
                <w:sz w:val="20"/>
              </w:rPr>
              <w:t>Constant (Intercept)</w:t>
            </w:r>
          </w:p>
        </w:tc>
        <w:tc>
          <w:tcPr>
            <w:tcW w:w="2880" w:type="dxa"/>
            <w:shd w:val="clear" w:color="auto" w:fill="F0F4F8"/>
          </w:tcPr>
          <w:p w14:paraId="0A3CDF59">
            <w:pPr>
              <w:jc w:val="center"/>
            </w:pPr>
            <w:r>
              <w:rPr>
                <w:sz w:val="20"/>
              </w:rPr>
              <w:t>59,840 INR</w:t>
            </w:r>
          </w:p>
        </w:tc>
        <w:tc>
          <w:tcPr>
            <w:tcW w:w="2880" w:type="dxa"/>
            <w:shd w:val="clear" w:color="auto" w:fill="F0F4F8"/>
          </w:tcPr>
          <w:p w14:paraId="12DB7BF3">
            <w:pPr>
              <w:jc w:val="center"/>
            </w:pPr>
            <w:r>
              <w:rPr>
                <w:sz w:val="20"/>
              </w:rPr>
              <w:t>~0</w:t>
            </w:r>
          </w:p>
        </w:tc>
      </w:tr>
      <w:tr w14:paraId="7D0E6758">
        <w:trPr>
          <w:jc w:val="center"/>
        </w:trPr>
        <w:tc>
          <w:tcPr>
            <w:tcW w:w="2880" w:type="dxa"/>
          </w:tcPr>
          <w:p w14:paraId="0CDFB086">
            <w:pPr>
              <w:jc w:val="center"/>
            </w:pPr>
            <w:r>
              <w:rPr>
                <w:sz w:val="20"/>
              </w:rPr>
              <w:t>RAM</w:t>
            </w:r>
          </w:p>
        </w:tc>
        <w:tc>
          <w:tcPr>
            <w:tcW w:w="2880" w:type="dxa"/>
          </w:tcPr>
          <w:p w14:paraId="08C8B97C">
            <w:pPr>
              <w:jc w:val="center"/>
            </w:pPr>
            <w:r>
              <w:rPr>
                <w:sz w:val="20"/>
              </w:rPr>
              <w:t>6,250 INR</w:t>
            </w:r>
          </w:p>
        </w:tc>
        <w:tc>
          <w:tcPr>
            <w:tcW w:w="2880" w:type="dxa"/>
          </w:tcPr>
          <w:p w14:paraId="33E9EE70">
            <w:pPr>
              <w:jc w:val="center"/>
            </w:pPr>
            <w:r>
              <w:rPr>
                <w:sz w:val="20"/>
              </w:rPr>
              <w:t>6.6e-12</w:t>
            </w:r>
          </w:p>
        </w:tc>
      </w:tr>
      <w:tr w14:paraId="69AEA620">
        <w:trPr>
          <w:jc w:val="center"/>
        </w:trPr>
        <w:tc>
          <w:tcPr>
            <w:tcW w:w="2880" w:type="dxa"/>
            <w:shd w:val="clear" w:color="auto" w:fill="F0F4F8"/>
          </w:tcPr>
          <w:p w14:paraId="3C9597A5">
            <w:pPr>
              <w:jc w:val="center"/>
            </w:pPr>
            <w:r>
              <w:rPr>
                <w:sz w:val="20"/>
              </w:rPr>
              <w:t>Company_Razer</w:t>
            </w:r>
          </w:p>
        </w:tc>
        <w:tc>
          <w:tcPr>
            <w:tcW w:w="2880" w:type="dxa"/>
            <w:shd w:val="clear" w:color="auto" w:fill="F0F4F8"/>
          </w:tcPr>
          <w:p w14:paraId="6063EDB4">
            <w:pPr>
              <w:jc w:val="center"/>
            </w:pPr>
            <w:r>
              <w:rPr>
                <w:sz w:val="20"/>
              </w:rPr>
              <w:t>3,784 INR</w:t>
            </w:r>
          </w:p>
        </w:tc>
        <w:tc>
          <w:tcPr>
            <w:tcW w:w="2880" w:type="dxa"/>
            <w:shd w:val="clear" w:color="auto" w:fill="F0F4F8"/>
          </w:tcPr>
          <w:p w14:paraId="393F3E2C">
            <w:pPr>
              <w:jc w:val="center"/>
            </w:pPr>
            <w:r>
              <w:rPr>
                <w:sz w:val="20"/>
              </w:rPr>
              <w:t>5.45e-14</w:t>
            </w:r>
          </w:p>
        </w:tc>
      </w:tr>
      <w:tr w14:paraId="0B21B3DD">
        <w:trPr>
          <w:jc w:val="center"/>
        </w:trPr>
        <w:tc>
          <w:tcPr>
            <w:tcW w:w="2880" w:type="dxa"/>
          </w:tcPr>
          <w:p w14:paraId="74E32384">
            <w:pPr>
              <w:jc w:val="center"/>
            </w:pPr>
            <w:r>
              <w:rPr>
                <w:sz w:val="20"/>
              </w:rPr>
              <w:t>Processor_Intel Xeon</w:t>
            </w:r>
          </w:p>
        </w:tc>
        <w:tc>
          <w:tcPr>
            <w:tcW w:w="2880" w:type="dxa"/>
          </w:tcPr>
          <w:p w14:paraId="498F5B53">
            <w:pPr>
              <w:jc w:val="center"/>
            </w:pPr>
            <w:r>
              <w:rPr>
                <w:sz w:val="20"/>
              </w:rPr>
              <w:t>2,483 INR</w:t>
            </w:r>
          </w:p>
        </w:tc>
        <w:tc>
          <w:tcPr>
            <w:tcW w:w="2880" w:type="dxa"/>
          </w:tcPr>
          <w:p w14:paraId="05736269">
            <w:pPr>
              <w:jc w:val="center"/>
            </w:pPr>
            <w:r>
              <w:rPr>
                <w:sz w:val="20"/>
              </w:rPr>
              <w:t>1.38e-09</w:t>
            </w:r>
          </w:p>
        </w:tc>
      </w:tr>
      <w:tr w14:paraId="29BBF7E7">
        <w:trPr>
          <w:jc w:val="center"/>
        </w:trPr>
        <w:tc>
          <w:tcPr>
            <w:tcW w:w="2880" w:type="dxa"/>
            <w:shd w:val="clear" w:color="auto" w:fill="F0F4F8"/>
          </w:tcPr>
          <w:p w14:paraId="49C419D5">
            <w:pPr>
              <w:jc w:val="center"/>
            </w:pPr>
            <w:r>
              <w:rPr>
                <w:sz w:val="20"/>
              </w:rPr>
              <w:t>X_res</w:t>
            </w:r>
          </w:p>
        </w:tc>
        <w:tc>
          <w:tcPr>
            <w:tcW w:w="2880" w:type="dxa"/>
            <w:shd w:val="clear" w:color="auto" w:fill="F0F4F8"/>
          </w:tcPr>
          <w:p w14:paraId="6BC15318">
            <w:pPr>
              <w:jc w:val="center"/>
            </w:pPr>
            <w:r>
              <w:rPr>
                <w:sz w:val="20"/>
              </w:rPr>
              <w:t>1,594 INR</w:t>
            </w:r>
          </w:p>
        </w:tc>
        <w:tc>
          <w:tcPr>
            <w:tcW w:w="2880" w:type="dxa"/>
            <w:shd w:val="clear" w:color="auto" w:fill="F0F4F8"/>
          </w:tcPr>
          <w:p w14:paraId="64B56B6A">
            <w:pPr>
              <w:jc w:val="center"/>
            </w:pPr>
            <w:r>
              <w:rPr>
                <w:sz w:val="20"/>
              </w:rPr>
              <w:t>2.16e-08</w:t>
            </w:r>
          </w:p>
        </w:tc>
      </w:tr>
      <w:tr w14:paraId="09ADEC2A">
        <w:trPr>
          <w:jc w:val="center"/>
        </w:trPr>
        <w:tc>
          <w:tcPr>
            <w:tcW w:w="2880" w:type="dxa"/>
          </w:tcPr>
          <w:p w14:paraId="1665C336">
            <w:pPr>
              <w:jc w:val="center"/>
            </w:pPr>
            <w:r>
              <w:rPr>
                <w:sz w:val="20"/>
              </w:rPr>
              <w:t>Y_res</w:t>
            </w:r>
          </w:p>
        </w:tc>
        <w:tc>
          <w:tcPr>
            <w:tcW w:w="2880" w:type="dxa"/>
          </w:tcPr>
          <w:p w14:paraId="41679DAF">
            <w:pPr>
              <w:jc w:val="center"/>
            </w:pPr>
            <w:r>
              <w:rPr>
                <w:sz w:val="20"/>
              </w:rPr>
              <w:t>1,598 INR</w:t>
            </w:r>
          </w:p>
        </w:tc>
        <w:tc>
          <w:tcPr>
            <w:tcW w:w="2880" w:type="dxa"/>
          </w:tcPr>
          <w:p w14:paraId="01E4ECC9">
            <w:pPr>
              <w:jc w:val="center"/>
            </w:pPr>
            <w:r>
              <w:rPr>
                <w:sz w:val="20"/>
              </w:rPr>
              <w:t>2.19e-08</w:t>
            </w:r>
          </w:p>
        </w:tc>
      </w:tr>
      <w:tr w14:paraId="642980DA">
        <w:trPr>
          <w:jc w:val="center"/>
        </w:trPr>
        <w:tc>
          <w:tcPr>
            <w:tcW w:w="2880" w:type="dxa"/>
            <w:shd w:val="clear" w:color="auto" w:fill="F0F4F8"/>
          </w:tcPr>
          <w:p w14:paraId="3053F3DC">
            <w:pPr>
              <w:jc w:val="center"/>
            </w:pPr>
            <w:r>
              <w:rPr>
                <w:sz w:val="20"/>
              </w:rPr>
              <w:t>Company_HP</w:t>
            </w:r>
          </w:p>
        </w:tc>
        <w:tc>
          <w:tcPr>
            <w:tcW w:w="2880" w:type="dxa"/>
            <w:shd w:val="clear" w:color="auto" w:fill="F0F4F8"/>
          </w:tcPr>
          <w:p w14:paraId="58E529D7">
            <w:pPr>
              <w:jc w:val="center"/>
            </w:pPr>
            <w:r>
              <w:rPr>
                <w:sz w:val="20"/>
              </w:rPr>
              <w:t>3,965 INR</w:t>
            </w:r>
          </w:p>
        </w:tc>
        <w:tc>
          <w:tcPr>
            <w:tcW w:w="2880" w:type="dxa"/>
            <w:shd w:val="clear" w:color="auto" w:fill="F0F4F8"/>
          </w:tcPr>
          <w:p w14:paraId="44669A59">
            <w:pPr>
              <w:jc w:val="center"/>
            </w:pPr>
            <w:r>
              <w:rPr>
                <w:sz w:val="20"/>
              </w:rPr>
              <w:t>&lt; 0.001</w:t>
            </w:r>
          </w:p>
        </w:tc>
      </w:tr>
      <w:tr w14:paraId="0BBB4785">
        <w:trPr>
          <w:jc w:val="center"/>
        </w:trPr>
        <w:tc>
          <w:tcPr>
            <w:tcW w:w="2880" w:type="dxa"/>
          </w:tcPr>
          <w:p w14:paraId="6AB442CC">
            <w:pPr>
              <w:jc w:val="center"/>
            </w:pPr>
            <w:r>
              <w:rPr>
                <w:sz w:val="20"/>
              </w:rPr>
              <w:t>Company_Toshiba</w:t>
            </w:r>
          </w:p>
        </w:tc>
        <w:tc>
          <w:tcPr>
            <w:tcW w:w="2880" w:type="dxa"/>
          </w:tcPr>
          <w:p w14:paraId="5FB0CA54">
            <w:pPr>
              <w:jc w:val="center"/>
            </w:pPr>
            <w:r>
              <w:rPr>
                <w:sz w:val="20"/>
              </w:rPr>
              <w:t>2,990 INR</w:t>
            </w:r>
          </w:p>
        </w:tc>
        <w:tc>
          <w:tcPr>
            <w:tcW w:w="2880" w:type="dxa"/>
          </w:tcPr>
          <w:p w14:paraId="30D62DBE">
            <w:pPr>
              <w:jc w:val="center"/>
            </w:pPr>
            <w:r>
              <w:rPr>
                <w:sz w:val="20"/>
              </w:rPr>
              <w:t>&lt; 0.001</w:t>
            </w:r>
          </w:p>
        </w:tc>
      </w:tr>
    </w:tbl>
    <w:p w14:paraId="72C3498C"/>
    <w:tbl>
      <w:tblPr>
        <w:tblStyle w:val="12"/>
        <w:tblW w:w="0" w:type="auto"/>
        <w:jc w:val="center"/>
        <w:tblLayout w:type="autofit"/>
        <w:tblCellMar>
          <w:top w:w="0" w:type="dxa"/>
          <w:left w:w="108" w:type="dxa"/>
          <w:bottom w:w="0" w:type="dxa"/>
          <w:right w:w="108" w:type="dxa"/>
        </w:tblCellMar>
      </w:tblPr>
      <w:tblGrid>
        <w:gridCol w:w="8640"/>
      </w:tblGrid>
      <w:tr w14:paraId="7D7844A3">
        <w:trPr>
          <w:jc w:val="center"/>
        </w:trPr>
        <w:tc>
          <w:tcPr>
            <w:tcW w:w="8640" w:type="dxa"/>
            <w:tcBorders>
              <w:top w:val="nil"/>
              <w:left w:val="single" w:color="2E86C1" w:sz="24" w:space="0"/>
              <w:bottom w:val="nil"/>
              <w:right w:val="nil"/>
            </w:tcBorders>
            <w:shd w:val="clear" w:color="auto" w:fill="E8F8E8"/>
          </w:tcPr>
          <w:p w14:paraId="7B18C094">
            <w:r>
              <w:rPr>
                <w:b/>
                <w:color w:val="2C3E6B"/>
                <w:sz w:val="20"/>
              </w:rPr>
              <w:t>Key Finding</w:t>
            </w:r>
          </w:p>
          <w:p w14:paraId="590D9AE0">
            <w:pPr>
              <w:spacing w:after="80"/>
            </w:pPr>
            <w:r>
              <w:rPr>
                <w:color w:val="333333"/>
                <w:sz w:val="20"/>
              </w:rPr>
              <w:t>All eight top predictors are significant at the p &lt; 0.001 level, many far exceeding this threshold (p &lt; 1e-08). This provides overwhelming statistical evidence that laptop specifications drive pricing. In practical terms:</w:t>
            </w:r>
            <w:r>
              <w:rPr>
                <w:color w:val="333333"/>
                <w:sz w:val="20"/>
              </w:rPr>
              <w:br w:type="textWrapping"/>
            </w:r>
            <w:r>
              <w:rPr>
                <w:color w:val="333333"/>
                <w:sz w:val="20"/>
              </w:rPr>
              <w:br w:type="textWrapping"/>
            </w:r>
            <w:r>
              <w:rPr>
                <w:color w:val="333333"/>
                <w:sz w:val="20"/>
              </w:rPr>
              <w:t>- Each additional GB of RAM adds approximately 6,250 INR to the predicted price.</w:t>
            </w:r>
            <w:r>
              <w:rPr>
                <w:color w:val="333333"/>
                <w:sz w:val="20"/>
              </w:rPr>
              <w:br w:type="textWrapping"/>
            </w:r>
            <w:r>
              <w:rPr>
                <w:color w:val="333333"/>
                <w:sz w:val="20"/>
              </w:rPr>
              <w:t>- Being a Razer laptop adds approximately 3,784 INR (brand premium).</w:t>
            </w:r>
            <w:r>
              <w:rPr>
                <w:color w:val="333333"/>
                <w:sz w:val="20"/>
              </w:rPr>
              <w:br w:type="textWrapping"/>
            </w:r>
            <w:r>
              <w:rPr>
                <w:color w:val="333333"/>
                <w:sz w:val="20"/>
              </w:rPr>
              <w:t>- An Intel Xeon processor adds approximately 2,483 INR (workstation premium).</w:t>
            </w:r>
            <w:r>
              <w:rPr>
                <w:color w:val="333333"/>
                <w:sz w:val="20"/>
              </w:rPr>
              <w:br w:type="textWrapping"/>
            </w:r>
            <w:r>
              <w:rPr>
                <w:color w:val="333333"/>
                <w:sz w:val="20"/>
              </w:rPr>
              <w:t>- Higher resolution (X_res, Y_res) contributes approximately 1,600 INR per unit increase.</w:t>
            </w:r>
            <w:r>
              <w:rPr>
                <w:color w:val="333333"/>
                <w:sz w:val="20"/>
              </w:rPr>
              <w:br w:type="textWrapping"/>
            </w:r>
            <w:r>
              <w:rPr>
                <w:color w:val="333333"/>
                <w:sz w:val="20"/>
              </w:rPr>
              <w:br w:type="textWrapping"/>
            </w:r>
            <w:r>
              <w:rPr>
                <w:color w:val="333333"/>
                <w:sz w:val="20"/>
              </w:rPr>
              <w:t>Based on the F-statistic (28.43, p ~ 0), we formally reject the Null Hypothesis (H0) and accept H1 — laptop specifications significantly explain price variation.</w:t>
            </w:r>
          </w:p>
        </w:tc>
      </w:tr>
    </w:tbl>
    <w:p w14:paraId="14E8ED22"/>
    <w:p w14:paraId="0EB9E047">
      <w:r>
        <w:br w:type="page"/>
      </w:r>
    </w:p>
    <w:p w14:paraId="3AE90735">
      <w:pPr>
        <w:pStyle w:val="2"/>
      </w:pPr>
      <w:r>
        <w:t>10. Discussion &amp; Interpretation</w:t>
      </w:r>
    </w:p>
    <w:p w14:paraId="23FFCC31">
      <w:pPr>
        <w:pBdr>
          <w:bottom w:val="single" w:color="2E86C1" w:sz="6" w:space="1"/>
        </w:pBdr>
        <w:jc w:val="center"/>
      </w:pPr>
    </w:p>
    <w:p w14:paraId="72FDDCC5">
      <w:pPr>
        <w:pStyle w:val="3"/>
      </w:pPr>
      <w:r>
        <w:t>10.1 Answering the Research Questions</w:t>
      </w:r>
    </w:p>
    <w:p w14:paraId="30BF61FA">
      <w:r>
        <w:rPr>
          <w:b/>
          <w:color w:val="2C3E6B"/>
        </w:rPr>
        <w:t xml:space="preserve">RQ1 — Strongest Specifications: </w:t>
      </w:r>
      <w:r>
        <w:t>RAM is the dominant predictor (r = 0.74), followed by display resolution (X_res: 0.56, Y_res: 0.55) and pixel density (PPI: 0.47). Among categorical features, brand (especially Razer) and processor family (Intel Xeon, Core i7) are the strongest drivers. Screen size alone is nearly irrelevant (r = 0.07).</w:t>
      </w:r>
    </w:p>
    <w:p w14:paraId="44726B75">
      <w:r>
        <w:rPr>
          <w:b/>
          <w:color w:val="2C3E6B"/>
        </w:rPr>
        <w:t xml:space="preserve">RQ2 — Model Reliability: </w:t>
      </w:r>
      <w:r>
        <w:t>Yes. The MLR model achieves an R-squared of 0.8152, which is considered good for a baseline model on real-world pricing data. The MAE of 11,232 INR is reasonable for a market spanning 10,000-300,000+ INR. The model is most reliable in the 20,000-100,000 INR segment.</w:t>
      </w:r>
    </w:p>
    <w:p w14:paraId="1ED78AD7">
      <w:r>
        <w:rPr>
          <w:b/>
          <w:color w:val="2C3E6B"/>
        </w:rPr>
        <w:t xml:space="preserve">RQ3 — Generalisation: </w:t>
      </w:r>
      <w:r>
        <w:t>The ~10% drop from training R-squared (0.914) to test R-squared (0.815) indicates moderate overfitting, largely due to high dimensionality (352 features from 1,019 training samples). The model generalises reasonably well but would benefit from regularisation to improve test-time performance.</w:t>
      </w:r>
    </w:p>
    <w:p w14:paraId="6B2A1487">
      <w:pPr>
        <w:pStyle w:val="3"/>
      </w:pPr>
      <w:r>
        <w:t>10.2 Key Business Insights</w:t>
      </w:r>
    </w:p>
    <w:p w14:paraId="7E833880">
      <w:pPr>
        <w:pStyle w:val="23"/>
      </w:pPr>
      <w:r>
        <w:rPr>
          <w:b/>
          <w:color w:val="2C3E6B"/>
        </w:rPr>
        <w:t>Pricing lever:</w:t>
      </w:r>
      <w:r>
        <w:t xml:space="preserve">  RAM upgrades offer the most predictable price uplift — 6,250 INR per GB — making RAM configuration the primary lever in pricing strategy.</w:t>
      </w:r>
    </w:p>
    <w:p w14:paraId="25C07920">
      <w:pPr>
        <w:pStyle w:val="23"/>
      </w:pPr>
      <w:r>
        <w:rPr>
          <w:b/>
          <w:color w:val="2C3E6B"/>
        </w:rPr>
        <w:t>Brand equity:</w:t>
      </w:r>
      <w:r>
        <w:t xml:space="preserve">  Razer commands a 3,784 INR brand premium even after controlling for specifications, demonstrating significant brand equity.</w:t>
      </w:r>
    </w:p>
    <w:p w14:paraId="5F867A17">
      <w:pPr>
        <w:pStyle w:val="23"/>
      </w:pPr>
      <w:r>
        <w:rPr>
          <w:b/>
          <w:color w:val="2C3E6B"/>
        </w:rPr>
        <w:t>Display value:</w:t>
      </w:r>
      <w:r>
        <w:t xml:space="preserve">  Display quality (resolution + IPS + touchscreen) collectively contributes more to price than CPU specifications, suggesting consumers value visual experience.</w:t>
      </w:r>
    </w:p>
    <w:p w14:paraId="420C7AD2">
      <w:pPr>
        <w:pStyle w:val="23"/>
      </w:pPr>
      <w:r>
        <w:rPr>
          <w:b/>
          <w:color w:val="2C3E6B"/>
        </w:rPr>
        <w:t>Gaming premium:</w:t>
      </w:r>
      <w:r>
        <w:t xml:space="preserve">  The gaming segment carries an inherent price uplift (correlation: 0.38), but within-segment variation remains high.</w:t>
      </w:r>
    </w:p>
    <w:tbl>
      <w:tblPr>
        <w:tblStyle w:val="12"/>
        <w:tblW w:w="0" w:type="auto"/>
        <w:jc w:val="center"/>
        <w:tblLayout w:type="autofit"/>
        <w:tblCellMar>
          <w:top w:w="0" w:type="dxa"/>
          <w:left w:w="108" w:type="dxa"/>
          <w:bottom w:w="0" w:type="dxa"/>
          <w:right w:w="108" w:type="dxa"/>
        </w:tblCellMar>
      </w:tblPr>
      <w:tblGrid>
        <w:gridCol w:w="8640"/>
      </w:tblGrid>
      <w:tr w14:paraId="4E69C314">
        <w:trPr>
          <w:jc w:val="center"/>
        </w:trPr>
        <w:tc>
          <w:tcPr>
            <w:tcW w:w="8640" w:type="dxa"/>
            <w:tcBorders>
              <w:top w:val="nil"/>
              <w:left w:val="single" w:color="2E86C1" w:sz="24" w:space="0"/>
              <w:bottom w:val="nil"/>
              <w:right w:val="nil"/>
            </w:tcBorders>
            <w:shd w:val="clear" w:color="auto" w:fill="E8F4FD"/>
          </w:tcPr>
          <w:p w14:paraId="020FFD38">
            <w:r>
              <w:rPr>
                <w:b/>
                <w:color w:val="2C3E6B"/>
                <w:sz w:val="20"/>
              </w:rPr>
              <w:t>Comment</w:t>
            </w:r>
          </w:p>
          <w:p w14:paraId="57B89085">
            <w:pPr>
              <w:spacing w:after="80"/>
            </w:pPr>
            <w:r>
              <w:rPr>
                <w:color w:val="333333"/>
                <w:sz w:val="20"/>
              </w:rPr>
              <w:t>These business insights suggest that laptop manufacturers and retailers should focus on RAM configuration and display quality as the primary differentiators in their pricing strategy. Brand positioning (like Razer's premium strategy) can command significant premiums beyond what the hardware specifications alone would justify.</w:t>
            </w:r>
          </w:p>
        </w:tc>
      </w:tr>
    </w:tbl>
    <w:p w14:paraId="0285AF26"/>
    <w:p w14:paraId="6B4E125A">
      <w:pPr>
        <w:pStyle w:val="3"/>
      </w:pPr>
      <w:r>
        <w:t>10.3 Model Strengths</w:t>
      </w:r>
    </w:p>
    <w:p w14:paraId="5E603CAD">
      <w:pPr>
        <w:pStyle w:val="23"/>
      </w:pPr>
      <w:r>
        <w:t>Explains 81.5% of price variance with interpretable coefficients.</w:t>
      </w:r>
    </w:p>
    <w:p w14:paraId="1F567AFD">
      <w:pPr>
        <w:pStyle w:val="23"/>
      </w:pPr>
      <w:r>
        <w:t>OLS validation confirms statistical significance of key predictors (p &lt; 0.001).</w:t>
      </w:r>
    </w:p>
    <w:p w14:paraId="015BFC38">
      <w:pPr>
        <w:pStyle w:val="23"/>
      </w:pPr>
      <w:r>
        <w:t>Residual diagnostics show approximate normality and linearity.</w:t>
      </w:r>
    </w:p>
    <w:p w14:paraId="66C6AFBE">
      <w:pPr>
        <w:pStyle w:val="23"/>
      </w:pPr>
      <w:r>
        <w:t>Results are robust across different train/test split ratios (80/20 and 70/30).</w:t>
      </w:r>
    </w:p>
    <w:p w14:paraId="25708FBF">
      <w:pPr>
        <w:pStyle w:val="23"/>
      </w:pPr>
      <w:r>
        <w:t>Provides actionable coefficient estimates for business decision-making.</w:t>
      </w:r>
    </w:p>
    <w:p w14:paraId="155D418E">
      <w:pPr>
        <w:pStyle w:val="3"/>
      </w:pPr>
      <w:r>
        <w:t>10.4 Limitations &amp; Caveats</w:t>
      </w:r>
    </w:p>
    <w:tbl>
      <w:tblPr>
        <w:tblStyle w:val="12"/>
        <w:tblW w:w="0" w:type="auto"/>
        <w:jc w:val="center"/>
        <w:tblLayout w:type="autofit"/>
        <w:tblCellMar>
          <w:top w:w="0" w:type="dxa"/>
          <w:left w:w="108" w:type="dxa"/>
          <w:bottom w:w="0" w:type="dxa"/>
          <w:right w:w="108" w:type="dxa"/>
        </w:tblCellMar>
      </w:tblPr>
      <w:tblGrid>
        <w:gridCol w:w="8640"/>
      </w:tblGrid>
      <w:tr w14:paraId="52B673F2">
        <w:trPr>
          <w:jc w:val="center"/>
        </w:trPr>
        <w:tc>
          <w:tcPr>
            <w:tcW w:w="8640" w:type="dxa"/>
            <w:tcBorders>
              <w:top w:val="nil"/>
              <w:left w:val="single" w:color="2E86C1" w:sz="24" w:space="0"/>
              <w:bottom w:val="nil"/>
              <w:right w:val="nil"/>
            </w:tcBorders>
            <w:shd w:val="clear" w:color="auto" w:fill="FFF8E1"/>
          </w:tcPr>
          <w:p w14:paraId="00F2E997">
            <w:r>
              <w:rPr>
                <w:b/>
                <w:color w:val="2C3E6B"/>
                <w:sz w:val="20"/>
              </w:rPr>
              <w:t>Note</w:t>
            </w:r>
          </w:p>
          <w:p w14:paraId="28988FD0">
            <w:pPr>
              <w:spacing w:after="80"/>
            </w:pPr>
            <w:r>
              <w:rPr>
                <w:color w:val="333333"/>
                <w:sz w:val="20"/>
              </w:rPr>
              <w:t>1. Mild heteroscedasticity — prediction error grows for expensive laptops, meaning the model is less reliable for premium configurations above 150,000 INR.</w:t>
            </w:r>
            <w:r>
              <w:rPr>
                <w:color w:val="333333"/>
                <w:sz w:val="20"/>
              </w:rPr>
              <w:br w:type="textWrapping"/>
            </w:r>
            <w:r>
              <w:rPr>
                <w:color w:val="333333"/>
                <w:sz w:val="20"/>
              </w:rPr>
              <w:br w:type="textWrapping"/>
            </w:r>
            <w:r>
              <w:rPr>
                <w:color w:val="333333"/>
                <w:sz w:val="20"/>
              </w:rPr>
              <w:t>2. Right-skewed target — the untransformed price variable may cause the model to systematically under-predict for high-end laptops.</w:t>
            </w:r>
            <w:r>
              <w:rPr>
                <w:color w:val="333333"/>
                <w:sz w:val="20"/>
              </w:rPr>
              <w:br w:type="textWrapping"/>
            </w:r>
            <w:r>
              <w:rPr>
                <w:color w:val="333333"/>
                <w:sz w:val="20"/>
              </w:rPr>
              <w:br w:type="textWrapping"/>
            </w:r>
            <w:r>
              <w:rPr>
                <w:color w:val="333333"/>
                <w:sz w:val="20"/>
              </w:rPr>
              <w:t>3. Multicollinearity — X_res, Y_res, and PPI are inter-correlated, which can inflate standard errors and make individual coefficient estimates unstable (though overall predictions remain valid).</w:t>
            </w:r>
            <w:r>
              <w:rPr>
                <w:color w:val="333333"/>
                <w:sz w:val="20"/>
              </w:rPr>
              <w:br w:type="textWrapping"/>
            </w:r>
            <w:r>
              <w:rPr>
                <w:color w:val="333333"/>
                <w:sz w:val="20"/>
              </w:rPr>
              <w:br w:type="textWrapping"/>
            </w:r>
            <w:r>
              <w:rPr>
                <w:color w:val="333333"/>
                <w:sz w:val="20"/>
              </w:rPr>
              <w:t>4. Temporal limitations — the dataset represents a single time period; laptop pricing evolves rapidly with new product launches and component cost changes.</w:t>
            </w:r>
            <w:r>
              <w:rPr>
                <w:color w:val="333333"/>
                <w:sz w:val="20"/>
              </w:rPr>
              <w:br w:type="textWrapping"/>
            </w:r>
            <w:r>
              <w:rPr>
                <w:color w:val="333333"/>
                <w:sz w:val="20"/>
              </w:rPr>
              <w:br w:type="textWrapping"/>
            </w:r>
            <w:r>
              <w:rPr>
                <w:color w:val="333333"/>
                <w:sz w:val="20"/>
              </w:rPr>
              <w:t>5. High dimensionality — 352 features from 1,019 samples creates a moderate curse-of-dimensionality scenario, contributing to the train-test R-squared gap.</w:t>
            </w:r>
          </w:p>
        </w:tc>
      </w:tr>
    </w:tbl>
    <w:p w14:paraId="6A9DB132"/>
    <w:p w14:paraId="008A06E7">
      <w:pPr>
        <w:pStyle w:val="3"/>
      </w:pPr>
      <w:r>
        <w:t>10.5 Recommendations for Future Work</w:t>
      </w:r>
    </w:p>
    <w:p w14:paraId="6E86E3A6">
      <w:pPr>
        <w:pStyle w:val="23"/>
      </w:pPr>
      <w:r>
        <w:rPr>
          <w:b/>
          <w:color w:val="2C3E6B"/>
        </w:rPr>
        <w:t>Transform:</w:t>
      </w:r>
      <w:r>
        <w:t xml:space="preserve">  Apply a log transformation to the price variable to reduce skewness and stabilise residual variance.</w:t>
      </w:r>
    </w:p>
    <w:p w14:paraId="67ADC8F9">
      <w:pPr>
        <w:pStyle w:val="23"/>
      </w:pPr>
      <w:r>
        <w:rPr>
          <w:b/>
          <w:color w:val="2C3E6B"/>
        </w:rPr>
        <w:t>Regularise:</w:t>
      </w:r>
      <w:r>
        <w:t xml:space="preserve">  Use Ridge or Lasso regression to address multicollinearity and reduce the 352-feature space to essential predictors.</w:t>
      </w:r>
    </w:p>
    <w:p w14:paraId="7C30EB23">
      <w:pPr>
        <w:pStyle w:val="23"/>
      </w:pPr>
      <w:r>
        <w:rPr>
          <w:b/>
          <w:color w:val="2C3E6B"/>
        </w:rPr>
        <w:t>Non-linear models:</w:t>
      </w:r>
      <w:r>
        <w:t xml:space="preserve">  Test Random Forest and Gradient Boosting (XGBoost) for potential non-linear performance gains, especially in the premium segment.</w:t>
      </w:r>
    </w:p>
    <w:p w14:paraId="2557114A">
      <w:pPr>
        <w:pStyle w:val="23"/>
      </w:pPr>
      <w:r>
        <w:rPr>
          <w:b/>
          <w:color w:val="2C3E6B"/>
        </w:rPr>
        <w:t>Cross-validate:</w:t>
      </w:r>
      <w:r>
        <w:t xml:space="preserve">  Replace the single train/test split with 5- or 10-fold cross-validation to obtain more robust performance estimates.</w:t>
      </w:r>
    </w:p>
    <w:p w14:paraId="2684DD39">
      <w:pPr>
        <w:pStyle w:val="23"/>
      </w:pPr>
      <w:r>
        <w:rPr>
          <w:b/>
          <w:color w:val="2C3E6B"/>
        </w:rPr>
        <w:t>Dynamic pricing:</w:t>
      </w:r>
      <w:r>
        <w:t xml:space="preserve">  Combine brand-specific features with time-series pricing data to build a dynamic pricing model.</w:t>
      </w:r>
    </w:p>
    <w:p w14:paraId="3A0441B5">
      <w:r>
        <w:br w:type="page"/>
      </w:r>
    </w:p>
    <w:p w14:paraId="1646C497">
      <w:pPr>
        <w:pStyle w:val="2"/>
      </w:pPr>
      <w:r>
        <w:t>11. Conclusion</w:t>
      </w:r>
    </w:p>
    <w:p w14:paraId="66CF7BF5">
      <w:pPr>
        <w:pBdr>
          <w:bottom w:val="single" w:color="2E86C1" w:sz="6" w:space="1"/>
        </w:pBdr>
        <w:jc w:val="center"/>
      </w:pPr>
    </w:p>
    <w:p w14:paraId="7F96992F">
      <w:r>
        <w:t>This study set out to determine whether laptop technical specifications can reliably predict market price. Through systematic data cleaning, exploratory analysis, feature engineering, and multiple linear regression modelling, we arrive at a clear answer.</w:t>
      </w:r>
    </w:p>
    <w:tbl>
      <w:tblPr>
        <w:tblStyle w:val="12"/>
        <w:tblW w:w="0" w:type="auto"/>
        <w:jc w:val="center"/>
        <w:tblLayout w:type="autofit"/>
        <w:tblCellMar>
          <w:top w:w="0" w:type="dxa"/>
          <w:left w:w="108" w:type="dxa"/>
          <w:bottom w:w="0" w:type="dxa"/>
          <w:right w:w="108" w:type="dxa"/>
        </w:tblCellMar>
      </w:tblPr>
      <w:tblGrid>
        <w:gridCol w:w="8640"/>
      </w:tblGrid>
      <w:tr w14:paraId="749AA67B">
        <w:trPr>
          <w:jc w:val="center"/>
        </w:trPr>
        <w:tc>
          <w:tcPr>
            <w:tcW w:w="8640" w:type="dxa"/>
            <w:tcBorders>
              <w:top w:val="nil"/>
              <w:left w:val="single" w:color="2E86C1" w:sz="24" w:space="0"/>
              <w:bottom w:val="nil"/>
              <w:right w:val="nil"/>
            </w:tcBorders>
            <w:shd w:val="clear" w:color="auto" w:fill="E8F8E8"/>
          </w:tcPr>
          <w:p w14:paraId="7C9218BC">
            <w:r>
              <w:rPr>
                <w:b/>
                <w:color w:val="2C3E6B"/>
                <w:sz w:val="20"/>
              </w:rPr>
              <w:t>Key Finding</w:t>
            </w:r>
          </w:p>
          <w:p w14:paraId="6949BE62">
            <w:pPr>
              <w:spacing w:after="80"/>
            </w:pPr>
            <w:r>
              <w:rPr>
                <w:color w:val="333333"/>
                <w:sz w:val="20"/>
              </w:rPr>
              <w:t>Final Verdict: Based on the regression performance metrics — R-squared = 0.8152, RMSE = 17,795 INR, MAE = 11,232 INR — and the OLS F-statistic of 28.43 (p ~ 0) with all major predictors significant at p &lt; 0.001, we REJECT the Null Hypothesis (H0) and conclude that laptop specifications significantly explain and predict laptop prices.</w:t>
            </w:r>
          </w:p>
        </w:tc>
      </w:tr>
    </w:tbl>
    <w:p w14:paraId="3638A648"/>
    <w:p w14:paraId="5AEF3562">
      <w:r>
        <w:t>The Multiple Linear Regression model provides a solid, interpretable baseline for laptop pricing intelligence. RAM, display resolution, processor family, and brand emerged as the dominant pricing drivers, together explaining over 80% of price variation.</w:t>
      </w:r>
    </w:p>
    <w:p w14:paraId="515F57C6">
      <w:r>
        <w:t>While there is room for improvement — particularly for premium-tier laptops where prediction error increases — the current model captures the fundamental pricing relationships and can serve as a practical tool for:</w:t>
      </w:r>
    </w:p>
    <w:p w14:paraId="5AC6CA96">
      <w:pPr>
        <w:pStyle w:val="23"/>
      </w:pPr>
      <w:r>
        <w:t>B2B quote estimation and competitive benchmarking.</w:t>
      </w:r>
    </w:p>
    <w:p w14:paraId="19FFF110">
      <w:pPr>
        <w:pStyle w:val="23"/>
      </w:pPr>
      <w:r>
        <w:t>Understanding which specifications drive the most price impact.</w:t>
      </w:r>
    </w:p>
    <w:p w14:paraId="1AF35BD1">
      <w:pPr>
        <w:pStyle w:val="23"/>
      </w:pPr>
      <w:r>
        <w:t>Identifying pricing anomalies and potential market opportunities.</w:t>
      </w:r>
    </w:p>
    <w:p w14:paraId="6C6D76A8">
      <w:pPr>
        <w:pStyle w:val="23"/>
      </w:pPr>
      <w:r>
        <w:t>Establishing a baseline against which more complex models can be compared.</w:t>
      </w:r>
    </w:p>
    <w:p w14:paraId="7202645A"/>
    <w:p w14:paraId="47C8E74A">
      <w:r>
        <w:t>The interpretable nature of linear regression — where each coefficient directly represents an INR-value impact — makes this model especially suitable for stakeholder communication and decision support in laptop procurement and pricing strategy.</w:t>
      </w:r>
    </w:p>
    <w:p w14:paraId="6482127A">
      <w:r>
        <w:br w:type="page"/>
      </w:r>
    </w:p>
    <w:p w14:paraId="18B7D3DA">
      <w:pPr>
        <w:pStyle w:val="2"/>
      </w:pPr>
      <w:r>
        <w:t>12. Appendix — Figure Index</w:t>
      </w:r>
    </w:p>
    <w:p w14:paraId="14AFC593">
      <w:pPr>
        <w:pBdr>
          <w:bottom w:val="single" w:color="2E86C1" w:sz="6" w:space="1"/>
        </w:pBdr>
        <w:jc w:val="center"/>
      </w:pPr>
    </w:p>
    <w:tbl>
      <w:tblPr>
        <w:tblStyle w:val="12"/>
        <w:tblW w:w="0" w:type="auto"/>
        <w:jc w:val="center"/>
        <w:tblLayout w:type="autofit"/>
        <w:tblCellMar>
          <w:top w:w="0" w:type="dxa"/>
          <w:left w:w="108" w:type="dxa"/>
          <w:bottom w:w="0" w:type="dxa"/>
          <w:right w:w="108" w:type="dxa"/>
        </w:tblCellMar>
      </w:tblPr>
      <w:tblGrid>
        <w:gridCol w:w="4320"/>
        <w:gridCol w:w="4320"/>
      </w:tblGrid>
      <w:tr w14:paraId="706F5DFF">
        <w:trPr>
          <w:jc w:val="center"/>
        </w:trPr>
        <w:tc>
          <w:tcPr>
            <w:tcW w:w="4320" w:type="dxa"/>
            <w:shd w:val="clear" w:color="auto" w:fill="1A2E4A"/>
          </w:tcPr>
          <w:p w14:paraId="734BEB61">
            <w:pPr>
              <w:jc w:val="center"/>
            </w:pPr>
            <w:r>
              <w:rPr>
                <w:b/>
                <w:color w:val="FFFFFF"/>
                <w:sz w:val="20"/>
              </w:rPr>
              <w:t>Figure</w:t>
            </w:r>
          </w:p>
        </w:tc>
        <w:tc>
          <w:tcPr>
            <w:tcW w:w="4320" w:type="dxa"/>
            <w:shd w:val="clear" w:color="auto" w:fill="1A2E4A"/>
          </w:tcPr>
          <w:p w14:paraId="25AAA41A">
            <w:pPr>
              <w:jc w:val="center"/>
            </w:pPr>
            <w:r>
              <w:rPr>
                <w:b/>
                <w:color w:val="FFFFFF"/>
                <w:sz w:val="20"/>
              </w:rPr>
              <w:t>Description</w:t>
            </w:r>
          </w:p>
        </w:tc>
      </w:tr>
      <w:tr w14:paraId="6EF2758B">
        <w:trPr>
          <w:jc w:val="center"/>
        </w:trPr>
        <w:tc>
          <w:tcPr>
            <w:tcW w:w="4320" w:type="dxa"/>
            <w:shd w:val="clear" w:color="auto" w:fill="F0F4F8"/>
          </w:tcPr>
          <w:p w14:paraId="08436F5C">
            <w:r>
              <w:rPr>
                <w:sz w:val="20"/>
              </w:rPr>
              <w:t>Figure 1</w:t>
            </w:r>
          </w:p>
        </w:tc>
        <w:tc>
          <w:tcPr>
            <w:tcW w:w="4320" w:type="dxa"/>
            <w:shd w:val="clear" w:color="auto" w:fill="F0F4F8"/>
          </w:tcPr>
          <w:p w14:paraId="5F476AFD">
            <w:r>
              <w:rPr>
                <w:sz w:val="20"/>
              </w:rPr>
              <w:t>Distribution of Laptop Prices (Histogram)</w:t>
            </w:r>
          </w:p>
        </w:tc>
      </w:tr>
      <w:tr w14:paraId="1E0D5DCD">
        <w:trPr>
          <w:jc w:val="center"/>
        </w:trPr>
        <w:tc>
          <w:tcPr>
            <w:tcW w:w="4320" w:type="dxa"/>
          </w:tcPr>
          <w:p w14:paraId="78F1D26D">
            <w:r>
              <w:rPr>
                <w:sz w:val="20"/>
              </w:rPr>
              <w:t>Figure 2</w:t>
            </w:r>
          </w:p>
        </w:tc>
        <w:tc>
          <w:tcPr>
            <w:tcW w:w="4320" w:type="dxa"/>
          </w:tcPr>
          <w:p w14:paraId="41AC5876">
            <w:r>
              <w:rPr>
                <w:sz w:val="20"/>
              </w:rPr>
              <w:t>Price Distribution with KDE Overlay</w:t>
            </w:r>
          </w:p>
        </w:tc>
      </w:tr>
      <w:tr w14:paraId="7664E7A2">
        <w:trPr>
          <w:jc w:val="center"/>
        </w:trPr>
        <w:tc>
          <w:tcPr>
            <w:tcW w:w="4320" w:type="dxa"/>
            <w:shd w:val="clear" w:color="auto" w:fill="F0F4F8"/>
          </w:tcPr>
          <w:p w14:paraId="0B77DB5D">
            <w:r>
              <w:rPr>
                <w:sz w:val="20"/>
              </w:rPr>
              <w:t>Figure 3</w:t>
            </w:r>
          </w:p>
        </w:tc>
        <w:tc>
          <w:tcPr>
            <w:tcW w:w="4320" w:type="dxa"/>
            <w:shd w:val="clear" w:color="auto" w:fill="F0F4F8"/>
          </w:tcPr>
          <w:p w14:paraId="6C54064B">
            <w:r>
              <w:rPr>
                <w:sz w:val="20"/>
              </w:rPr>
              <w:t>RAM Capacity vs Price (Violin Plot)</w:t>
            </w:r>
          </w:p>
        </w:tc>
      </w:tr>
      <w:tr w14:paraId="70584D0B">
        <w:trPr>
          <w:jc w:val="center"/>
        </w:trPr>
        <w:tc>
          <w:tcPr>
            <w:tcW w:w="4320" w:type="dxa"/>
          </w:tcPr>
          <w:p w14:paraId="3897898B">
            <w:r>
              <w:rPr>
                <w:sz w:val="20"/>
              </w:rPr>
              <w:t>Figure 4</w:t>
            </w:r>
          </w:p>
        </w:tc>
        <w:tc>
          <w:tcPr>
            <w:tcW w:w="4320" w:type="dxa"/>
          </w:tcPr>
          <w:p w14:paraId="674BF9C9">
            <w:r>
              <w:rPr>
                <w:sz w:val="20"/>
              </w:rPr>
              <w:t>Mean Price by RAM Tier (Bar Plot)</w:t>
            </w:r>
          </w:p>
        </w:tc>
      </w:tr>
      <w:tr w14:paraId="561EF736">
        <w:trPr>
          <w:jc w:val="center"/>
        </w:trPr>
        <w:tc>
          <w:tcPr>
            <w:tcW w:w="4320" w:type="dxa"/>
            <w:shd w:val="clear" w:color="auto" w:fill="F0F4F8"/>
          </w:tcPr>
          <w:p w14:paraId="7785110F">
            <w:r>
              <w:rPr>
                <w:sz w:val="20"/>
              </w:rPr>
              <w:t>Figure 5</w:t>
            </w:r>
          </w:p>
        </w:tc>
        <w:tc>
          <w:tcPr>
            <w:tcW w:w="4320" w:type="dxa"/>
            <w:shd w:val="clear" w:color="auto" w:fill="F0F4F8"/>
          </w:tcPr>
          <w:p w14:paraId="639B3498">
            <w:r>
              <w:rPr>
                <w:sz w:val="20"/>
              </w:rPr>
              <w:t>Screen Size vs Price by Laptop Type</w:t>
            </w:r>
          </w:p>
        </w:tc>
      </w:tr>
      <w:tr w14:paraId="61E18C56">
        <w:trPr>
          <w:jc w:val="center"/>
        </w:trPr>
        <w:tc>
          <w:tcPr>
            <w:tcW w:w="4320" w:type="dxa"/>
          </w:tcPr>
          <w:p w14:paraId="13B09312">
            <w:r>
              <w:rPr>
                <w:sz w:val="20"/>
              </w:rPr>
              <w:t>Figure 6</w:t>
            </w:r>
          </w:p>
        </w:tc>
        <w:tc>
          <w:tcPr>
            <w:tcW w:w="4320" w:type="dxa"/>
          </w:tcPr>
          <w:p w14:paraId="2A5315B8">
            <w:r>
              <w:rPr>
                <w:sz w:val="20"/>
              </w:rPr>
              <w:t>Price Spread by Laptop Type (Box Plot)</w:t>
            </w:r>
          </w:p>
        </w:tc>
      </w:tr>
      <w:tr w14:paraId="28460A96">
        <w:trPr>
          <w:jc w:val="center"/>
        </w:trPr>
        <w:tc>
          <w:tcPr>
            <w:tcW w:w="4320" w:type="dxa"/>
            <w:shd w:val="clear" w:color="auto" w:fill="F0F4F8"/>
          </w:tcPr>
          <w:p w14:paraId="4E0C5D8F">
            <w:r>
              <w:rPr>
                <w:sz w:val="20"/>
              </w:rPr>
              <w:t>Figure 7</w:t>
            </w:r>
          </w:p>
        </w:tc>
        <w:tc>
          <w:tcPr>
            <w:tcW w:w="4320" w:type="dxa"/>
            <w:shd w:val="clear" w:color="auto" w:fill="F0F4F8"/>
          </w:tcPr>
          <w:p w14:paraId="1375114E">
            <w:r>
              <w:rPr>
                <w:sz w:val="20"/>
              </w:rPr>
              <w:t>Top 10 Companies by Laptop Count</w:t>
            </w:r>
          </w:p>
        </w:tc>
      </w:tr>
      <w:tr w14:paraId="7C2ED691">
        <w:trPr>
          <w:jc w:val="center"/>
        </w:trPr>
        <w:tc>
          <w:tcPr>
            <w:tcW w:w="4320" w:type="dxa"/>
          </w:tcPr>
          <w:p w14:paraId="05CFACAD">
            <w:r>
              <w:rPr>
                <w:sz w:val="20"/>
              </w:rPr>
              <w:t>Figure 8</w:t>
            </w:r>
          </w:p>
        </w:tc>
        <w:tc>
          <w:tcPr>
            <w:tcW w:w="4320" w:type="dxa"/>
          </w:tcPr>
          <w:p w14:paraId="4DC6AAEE">
            <w:r>
              <w:rPr>
                <w:sz w:val="20"/>
              </w:rPr>
              <w:t>Average Price by CPU Brand</w:t>
            </w:r>
          </w:p>
        </w:tc>
      </w:tr>
      <w:tr w14:paraId="349C8D07">
        <w:trPr>
          <w:jc w:val="center"/>
        </w:trPr>
        <w:tc>
          <w:tcPr>
            <w:tcW w:w="4320" w:type="dxa"/>
            <w:shd w:val="clear" w:color="auto" w:fill="F0F4F8"/>
          </w:tcPr>
          <w:p w14:paraId="220F366F">
            <w:r>
              <w:rPr>
                <w:sz w:val="20"/>
              </w:rPr>
              <w:t>Figure 9</w:t>
            </w:r>
          </w:p>
        </w:tc>
        <w:tc>
          <w:tcPr>
            <w:tcW w:w="4320" w:type="dxa"/>
            <w:shd w:val="clear" w:color="auto" w:fill="F0F4F8"/>
          </w:tcPr>
          <w:p w14:paraId="2C5DCE1C">
            <w:r>
              <w:rPr>
                <w:sz w:val="20"/>
              </w:rPr>
              <w:t>Pearson Correlation Heatmap (Numeric Features)</w:t>
            </w:r>
          </w:p>
        </w:tc>
      </w:tr>
      <w:tr w14:paraId="6BAB27EE">
        <w:trPr>
          <w:jc w:val="center"/>
        </w:trPr>
        <w:tc>
          <w:tcPr>
            <w:tcW w:w="4320" w:type="dxa"/>
          </w:tcPr>
          <w:p w14:paraId="25861CDA">
            <w:r>
              <w:rPr>
                <w:sz w:val="20"/>
              </w:rPr>
              <w:t>Figure 10</w:t>
            </w:r>
          </w:p>
        </w:tc>
        <w:tc>
          <w:tcPr>
            <w:tcW w:w="4320" w:type="dxa"/>
          </w:tcPr>
          <w:p w14:paraId="28DFDAFE">
            <w:r>
              <w:rPr>
                <w:sz w:val="20"/>
              </w:rPr>
              <w:t>Price vs Top Numeric Features (Scatter Grid)</w:t>
            </w:r>
          </w:p>
        </w:tc>
      </w:tr>
      <w:tr w14:paraId="0AA1728C">
        <w:trPr>
          <w:jc w:val="center"/>
        </w:trPr>
        <w:tc>
          <w:tcPr>
            <w:tcW w:w="4320" w:type="dxa"/>
            <w:shd w:val="clear" w:color="auto" w:fill="F0F4F8"/>
          </w:tcPr>
          <w:p w14:paraId="0A876D1F">
            <w:r>
              <w:rPr>
                <w:sz w:val="20"/>
              </w:rPr>
              <w:t>Figure 11</w:t>
            </w:r>
          </w:p>
        </w:tc>
        <w:tc>
          <w:tcPr>
            <w:tcW w:w="4320" w:type="dxa"/>
            <w:shd w:val="clear" w:color="auto" w:fill="F0F4F8"/>
          </w:tcPr>
          <w:p w14:paraId="59516346">
            <w:r>
              <w:rPr>
                <w:sz w:val="20"/>
              </w:rPr>
              <w:t>Price Distribution by Company (Top 10)</w:t>
            </w:r>
          </w:p>
        </w:tc>
      </w:tr>
      <w:tr w14:paraId="003C12AD">
        <w:trPr>
          <w:jc w:val="center"/>
        </w:trPr>
        <w:tc>
          <w:tcPr>
            <w:tcW w:w="4320" w:type="dxa"/>
          </w:tcPr>
          <w:p w14:paraId="13CCFD76">
            <w:r>
              <w:rPr>
                <w:sz w:val="20"/>
              </w:rPr>
              <w:t>Figure 12</w:t>
            </w:r>
          </w:p>
        </w:tc>
        <w:tc>
          <w:tcPr>
            <w:tcW w:w="4320" w:type="dxa"/>
          </w:tcPr>
          <w:p w14:paraId="1B94D9E5">
            <w:r>
              <w:rPr>
                <w:sz w:val="20"/>
              </w:rPr>
              <w:t>Actual vs Predicted Prices (Test Set)</w:t>
            </w:r>
          </w:p>
        </w:tc>
      </w:tr>
      <w:tr w14:paraId="6D813908">
        <w:trPr>
          <w:jc w:val="center"/>
        </w:trPr>
        <w:tc>
          <w:tcPr>
            <w:tcW w:w="4320" w:type="dxa"/>
            <w:shd w:val="clear" w:color="auto" w:fill="F0F4F8"/>
          </w:tcPr>
          <w:p w14:paraId="75107C35">
            <w:r>
              <w:rPr>
                <w:sz w:val="20"/>
              </w:rPr>
              <w:t>Figure 13</w:t>
            </w:r>
          </w:p>
        </w:tc>
        <w:tc>
          <w:tcPr>
            <w:tcW w:w="4320" w:type="dxa"/>
            <w:shd w:val="clear" w:color="auto" w:fill="F0F4F8"/>
          </w:tcPr>
          <w:p w14:paraId="0086CF22">
            <w:r>
              <w:rPr>
                <w:sz w:val="20"/>
              </w:rPr>
              <w:t>Four-Panel Residual Diagnostics</w:t>
            </w:r>
          </w:p>
        </w:tc>
      </w:tr>
      <w:tr w14:paraId="6C74AA27">
        <w:trPr>
          <w:jc w:val="center"/>
        </w:trPr>
        <w:tc>
          <w:tcPr>
            <w:tcW w:w="4320" w:type="dxa"/>
          </w:tcPr>
          <w:p w14:paraId="1DBD30A6">
            <w:r>
              <w:rPr>
                <w:sz w:val="20"/>
              </w:rPr>
              <w:t>Figure 14</w:t>
            </w:r>
          </w:p>
        </w:tc>
        <w:tc>
          <w:tcPr>
            <w:tcW w:w="4320" w:type="dxa"/>
          </w:tcPr>
          <w:p w14:paraId="4DF53E91">
            <w:r>
              <w:rPr>
                <w:sz w:val="20"/>
              </w:rPr>
              <w:t>Secondary Diagnostic Grid</w:t>
            </w:r>
          </w:p>
        </w:tc>
      </w:tr>
      <w:tr w14:paraId="0D2E86FD">
        <w:trPr>
          <w:jc w:val="center"/>
        </w:trPr>
        <w:tc>
          <w:tcPr>
            <w:tcW w:w="4320" w:type="dxa"/>
            <w:shd w:val="clear" w:color="auto" w:fill="F0F4F8"/>
          </w:tcPr>
          <w:p w14:paraId="6F26E271">
            <w:r>
              <w:rPr>
                <w:sz w:val="20"/>
              </w:rPr>
              <w:t>Figure 15</w:t>
            </w:r>
          </w:p>
        </w:tc>
        <w:tc>
          <w:tcPr>
            <w:tcW w:w="4320" w:type="dxa"/>
            <w:shd w:val="clear" w:color="auto" w:fill="F0F4F8"/>
          </w:tcPr>
          <w:p w14:paraId="0A7A36E2">
            <w:r>
              <w:rPr>
                <w:sz w:val="20"/>
              </w:rPr>
              <w:t>QQ Plot &amp; Top 15 Feature Coefficients</w:t>
            </w:r>
          </w:p>
        </w:tc>
      </w:tr>
      <w:tr w14:paraId="4D8BB742">
        <w:trPr>
          <w:jc w:val="center"/>
        </w:trPr>
        <w:tc>
          <w:tcPr>
            <w:tcW w:w="4320" w:type="dxa"/>
          </w:tcPr>
          <w:p w14:paraId="0AD40D66">
            <w:r>
              <w:rPr>
                <w:sz w:val="20"/>
              </w:rPr>
              <w:t>Figure 16</w:t>
            </w:r>
          </w:p>
        </w:tc>
        <w:tc>
          <w:tcPr>
            <w:tcW w:w="4320" w:type="dxa"/>
          </w:tcPr>
          <w:p w14:paraId="1A9BDF73">
            <w:r>
              <w:rPr>
                <w:sz w:val="20"/>
              </w:rPr>
              <w:t>Diagnostics — 70/30 Split</w:t>
            </w:r>
          </w:p>
        </w:tc>
      </w:tr>
    </w:tbl>
    <w:p w14:paraId="7A994D5A"/>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FD1C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1A2E4A"/>
      <w:sz w:val="40"/>
      <w:szCs w:val="28"/>
    </w:rPr>
  </w:style>
  <w:style w:type="paragraph" w:styleId="3">
    <w:name w:val="heading 2"/>
    <w:basedOn w:val="1"/>
    <w:next w:val="1"/>
    <w:link w:val="139"/>
    <w:unhideWhenUsed/>
    <w:qFormat/>
    <w:uiPriority w:val="9"/>
    <w:pPr>
      <w:keepNext/>
      <w:keepLines/>
      <w:spacing w:before="280" w:after="120"/>
      <w:outlineLvl w:val="1"/>
    </w:pPr>
    <w:rPr>
      <w:rFonts w:asciiTheme="majorHAnsi" w:hAnsiTheme="majorHAnsi" w:eastAsiaTheme="majorEastAsia" w:cstheme="majorBidi"/>
      <w:b/>
      <w:bCs/>
      <w:color w:val="1A2E4A"/>
      <w:sz w:val="30"/>
      <w:szCs w:val="26"/>
    </w:rPr>
  </w:style>
  <w:style w:type="paragraph" w:styleId="4">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color w:val="1A2E4A"/>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apple</cp:lastModifiedBy>
  <dcterms:modified xsi:type="dcterms:W3CDTF">2026-02-22T14:07:17Z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642836D8306C0D0E3DC09A69D78A3872_42</vt:lpwstr>
  </property>
</Properties>
</file>