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2"/>
      </w:tblGrid>
      <w:tr>
        <w:tc>
          <w:tcPr>
            <w:tcBorders>
              <w:top w:val="none"/>
              <w:left w:val="none"/>
              <w:bottom w:val="single" w:color="C8891E" w:sz="6"/>
              <w:right w:val="none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E35"/>
                <w:sz w:val="32"/>
                <w:szCs w:val="32"/>
              </w:rPr>
              <w:t xml:space="preserve">17+ Years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Global Experience</w:t>
            </w:r>
          </w:p>
        </w:tc>
        <w:tc>
          <w:tcPr>
            <w:tcBorders>
              <w:top w:val="none"/>
              <w:left w:val="none"/>
              <w:bottom w:val="single" w:color="C8891E" w:sz="6"/>
              <w:right w:val="none"/>
            </w:tcBorders>
            <w:shd w:fill="E8EF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E35"/>
                <w:sz w:val="32"/>
                <w:szCs w:val="32"/>
              </w:rPr>
              <w:t xml:space="preserve">5+ Global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MNCs</w:t>
            </w:r>
          </w:p>
        </w:tc>
        <w:tc>
          <w:tcPr>
            <w:tcBorders>
              <w:top w:val="none"/>
              <w:left w:val="none"/>
              <w:bottom w:val="single" w:color="C8891E" w:sz="6"/>
              <w:right w:val="none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E35"/>
                <w:sz w:val="32"/>
                <w:szCs w:val="32"/>
              </w:rPr>
              <w:t xml:space="preserve">6+ Years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at Siemens AG</w:t>
            </w:r>
          </w:p>
        </w:tc>
        <w:tc>
          <w:tcPr>
            <w:tcBorders>
              <w:top w:val="none"/>
              <w:left w:val="none"/>
              <w:bottom w:val="single" w:color="C8891E" w:sz="6"/>
              <w:right w:val="none"/>
            </w:tcBorders>
            <w:shd w:fill="E8EF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E35"/>
                <w:sz w:val="32"/>
                <w:szCs w:val="32"/>
              </w:rPr>
              <w:t xml:space="preserve">7 Industry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Certifications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1E35"/>
          <w:sz w:val="22"/>
          <w:szCs w:val="22"/>
        </w:rPr>
        <w:t xml:space="preserve">PROFESSIONAL SUMMARY</w:t>
      </w:r>
    </w:p>
    <w:p>
      <w:pPr>
        <w:pBdr>
          <w:bottom w:val="single" w:color="C8891E" w:sz="8" w:space="1"/>
        </w:pBd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Results-driven SAP Procurement &amp; BTP Leader with 17+ years of global IT experience across 5 MNCs (IBM, Cognizant, Ciber, Metro AG, Siemens AG) in India and Germany. Deep functional expertise spanning SAP SRM, MM, Ariba (Buying &amp; Invoicing, Upstream, SLP), SAP BTP Integration, and S/4HANA Procurement. Proven track record in leading end-to-end procurement transformations, SRM replacements, global template rollouts, and ITSM governance. Certified SAP Ariba, Sourcing &amp; Procurement professional and Scrum Master with IIM Bangalore storytelling credentials.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1E35"/>
          <w:sz w:val="22"/>
          <w:szCs w:val="22"/>
        </w:rPr>
        <w:t xml:space="preserve">CORE COMPETENCIES</w:t>
      </w:r>
    </w:p>
    <w:p>
      <w:pPr>
        <w:pBdr>
          <w:bottom w:val="single" w:color="C8891E" w:sz="8" w:space="1"/>
        </w:pBdr>
        <w:spacing w:after="100" w:before="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402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SAP Ariba B&amp;I / Upstream / SLP</w:t>
            </w: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SAP SRM &amp; SRM Replacement</w:t>
            </w:r>
          </w:p>
        </w:tc>
        <w:tc>
          <w:tcPr>
            <w:tcW w:type="dxa" w:w="3402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SAP BTP / CPI Integration</w:t>
            </w:r>
          </w:p>
        </w:tc>
      </w:tr>
    </w:tbl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402"/>
      </w:tblGrid>
      <w:tr>
        <w:tc>
          <w:tcPr>
            <w:tcW w:type="dxa" w:w="3100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SAP Ariba B&amp;I / Upstream / SLP</w:t>
            </w:r>
          </w:p>
        </w:tc>
        <w:tc>
          <w:tcPr>
            <w:tcW w:type="dxa" w:w="3100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SAP SRM &amp; SRM Replacement</w:t>
            </w:r>
          </w:p>
        </w:tc>
        <w:tc>
          <w:tcPr>
            <w:tcW w:type="dxa" w:w="3402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SAP BTP / CPI Integration</w:t>
            </w:r>
          </w:p>
        </w:tc>
      </w:tr>
    </w:tbl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402"/>
      </w:tblGrid>
      <w:tr>
        <w:tc>
          <w:tcPr>
            <w:tcW w:type="dxa" w:w="3100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S/4HANA Materials Management (MM)</w:t>
            </w:r>
          </w:p>
        </w:tc>
        <w:tc>
          <w:tcPr>
            <w:tcW w:type="dxa" w:w="3100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End-to-End P2P Implementation</w:t>
            </w:r>
          </w:p>
        </w:tc>
        <w:tc>
          <w:tcPr>
            <w:tcW w:type="dxa" w:w="3402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Product Owner (DirectX/IndirectX)</w:t>
            </w:r>
          </w:p>
        </w:tc>
      </w:tr>
    </w:tbl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402"/>
      </w:tblGrid>
      <w:tr>
        <w:tc>
          <w:tcPr>
            <w:tcW w:type="dxa" w:w="3100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CIG (Cloud Integration Gateway)</w:t>
            </w:r>
          </w:p>
        </w:tc>
        <w:tc>
          <w:tcPr>
            <w:tcW w:type="dxa" w:w="3100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Fit-Gap Analysis &amp; Solution Design</w:t>
            </w:r>
          </w:p>
        </w:tc>
        <w:tc>
          <w:tcPr>
            <w:tcW w:type="dxa" w:w="3402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ITIL-aligned ITSM Governance</w:t>
            </w:r>
          </w:p>
        </w:tc>
      </w:tr>
    </w:tbl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402"/>
      </w:tblGrid>
      <w:tr>
        <w:tc>
          <w:tcPr>
            <w:tcW w:type="dxa" w:w="3100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Global Template Rollouts (MNCs)</w:t>
            </w:r>
          </w:p>
        </w:tc>
        <w:tc>
          <w:tcPr>
            <w:tcW w:type="dxa" w:w="3100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SAP Activate Methodology</w:t>
            </w:r>
          </w:p>
        </w:tc>
        <w:tc>
          <w:tcPr>
            <w:tcW w:type="dxa" w:w="3402"/>
            <w:tcBorders>
              <w:top w:val="single" w:color="D6D6D6" w:sz="1"/>
              <w:left w:val="single" w:color="D6D6D6" w:sz="1"/>
              <w:bottom w:val="single" w:color="D6D6D6" w:sz="1"/>
              <w:right w:val="single" w:color="D6D6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Scrum / Agile Delivery</w:t>
            </w:r>
          </w:p>
        </w:tc>
      </w:tr>
    </w:tbl>
    <w:p>
      <w:pPr>
        <w:spacing w:after="0"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1E35"/>
          <w:sz w:val="22"/>
          <w:szCs w:val="22"/>
        </w:rPr>
        <w:t xml:space="preserve">PROFESSIONAL EXPERIENCE</w:t>
      </w:r>
    </w:p>
    <w:p>
      <w:pPr>
        <w:pBdr>
          <w:bottom w:val="single" w:color="C8891E" w:sz="8" w:space="1"/>
        </w:pBdr>
        <w:spacing w:after="100" w:before="0"/>
      </w:pPr>
    </w:p>
    <w:p>
      <w:pPr>
        <w:tabs>
          <w:tab w:val="right" w:pos="9602"/>
        </w:tabs>
        <w:spacing w:after="20" w:before="140"/>
      </w:pPr>
      <w:r>
        <w:rPr>
          <w:rFonts w:ascii="Arial" w:cs="Arial" w:eastAsia="Arial" w:hAnsi="Arial"/>
          <w:b/>
          <w:bCs/>
          <w:color w:val="0D1E35"/>
          <w:sz w:val="24"/>
          <w:szCs w:val="24"/>
        </w:rPr>
        <w:t xml:space="preserve">IT Solution Expert – SAP Procurement &amp; BTP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2018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8891E"/>
          <w:sz w:val="21"/>
          <w:szCs w:val="21"/>
        </w:rPr>
        <w:t xml:space="preserve">Siemens AG</w:t>
      </w:r>
      <w:r>
        <w:rPr>
          <w:rFonts w:ascii="Arial" w:cs="Arial" w:eastAsia="Arial" w:hAnsi="Arial"/>
          <w:color w:val="D6D6D6"/>
          <w:sz w:val="21"/>
          <w:szCs w:val="21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Munich, Germany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Served as BTP Product Owner for DirectX and IndirectX procurement integration platforms — owning product roadmap, sprint planning (Scrum), release governance, and stakeholder alignment across global cross-functional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OneSRM programme (3 years) as functional lead: designed global SRM process template, executed multi-country rollout across Siemens business units, and managed SRM-to-S/4HANA migration roadmap.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Architected Ariba Commerce Automation and Ariba Network integration with S/4HANA via CIG (Cloud Integration Gateway), enabling automated PO/invoice exchange across 100+ supplier connections.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Governed ITIL-aligned ITSM operations (incident, problem, change, release management) for SAP procurement landscape across India and Germany delivery teams, reducing SLA breach rate by 30%.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SCM Core implementation (6 months): defined procurement supply chain processes, integrated MM and Ariba modules, and executed UAT with 200+ business users across 4 countries.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clean-core BTP side-by-side extensions for S/4HANA procurement, ensuring upgrade readiness and reducing custom code footprint by 40% across multi-country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Defined Centre of Excellence (CoE) operating model for SAP Ariba &amp; S/4HANA procurement including governance frameworks, KPI dashboards, and continuous improvement processes.</w:t>
      </w:r>
    </w:p>
    <w:p>
      <w:pPr>
        <w:tabs>
          <w:tab w:val="right" w:pos="9602"/>
        </w:tabs>
        <w:spacing w:after="20" w:before="140"/>
      </w:pPr>
      <w:r>
        <w:rPr>
          <w:rFonts w:ascii="Arial" w:cs="Arial" w:eastAsia="Arial" w:hAnsi="Arial"/>
          <w:b/>
          <w:bCs/>
          <w:color w:val="0D1E35"/>
          <w:sz w:val="24"/>
          <w:szCs w:val="24"/>
        </w:rPr>
        <w:t xml:space="preserve">Senior SAP Procurement Consultant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2010 – 2018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8891E"/>
          <w:sz w:val="21"/>
          <w:szCs w:val="21"/>
        </w:rPr>
        <w:t xml:space="preserve">IBM / Cognizant / Ciber / Metro AG</w:t>
      </w:r>
      <w:r>
        <w:rPr>
          <w:rFonts w:ascii="Arial" w:cs="Arial" w:eastAsia="Arial" w:hAnsi="Arial"/>
          <w:color w:val="D6D6D6"/>
          <w:sz w:val="21"/>
          <w:szCs w:val="21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 &amp; Germany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end-to-end SAP Ariba Buying &amp; Invoicing (B&amp;I) implementations across 3+ full-cycle deployments — from requirement workshops, blueprint, fit-gap analysis and configuration through testing (UT/SIT/UAT), go-live, and hypercare.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configured SAP Ariba Upstream modules (Sourcing, Contracts, SLP/Supplier Lifecycle Management) for indirect procurement; reduced supplier onboarding cycle time by 35%.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SAP SRM (end-to-end P2P, shopping cart, vendor evaluation, contract management) across 3 global MNC rollouts, transitioning legacy procurement platforms to S/4HANA-integrated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SAP MM configuration: purchasing info records, source lists, release strategies, invoice verification (MIRO), goods receipt (MIGO) for direct and indirect procurement categories.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Executed greenfield S/4HANA MM implementations and system migrations managing data migration strategy (MDG/LSMW), cutover planning, and go-live support across multi-country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Facilitated executive-level client workshops and steering committee presentations, aligning SAP procurement solution design with business strategy, change management plans, and ROI targets.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Coached and mentored junior SAP consultants and business analysts; ensured structured knowledge transfer to client organisations at go-live across all engagements.</w:t>
      </w:r>
    </w:p>
    <w:p>
      <w:pPr>
        <w:tabs>
          <w:tab w:val="right" w:pos="9602"/>
        </w:tabs>
        <w:spacing w:after="20" w:before="140"/>
      </w:pPr>
      <w:r>
        <w:rPr>
          <w:rFonts w:ascii="Arial" w:cs="Arial" w:eastAsia="Arial" w:hAnsi="Arial"/>
          <w:b/>
          <w:bCs/>
          <w:color w:val="0D1E35"/>
          <w:sz w:val="24"/>
          <w:szCs w:val="24"/>
        </w:rPr>
        <w:t xml:space="preserve">SAP MM / Procurement Consultant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2007 – 2010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8891E"/>
          <w:sz w:val="21"/>
          <w:szCs w:val="21"/>
        </w:rPr>
        <w:t xml:space="preserve">Early Career (Various Clients)</w:t>
      </w:r>
      <w:r>
        <w:rPr>
          <w:rFonts w:ascii="Arial" w:cs="Arial" w:eastAsia="Arial" w:hAnsi="Arial"/>
          <w:color w:val="D6D6D6"/>
          <w:sz w:val="21"/>
          <w:szCs w:val="21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Configured and supported SAP MM purchasing processes (PR, PO, GR, IR) and vendor master data governance for manufacturing and services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Participated in SAP ECC implementations covering Materials Management, procurement workflows, and integration with FI/CO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Conducted end-user training, prepared functional specifications, and provided post-go-live hypercare support across 4+ client engagements.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1E35"/>
          <w:sz w:val="22"/>
          <w:szCs w:val="22"/>
        </w:rPr>
        <w:t xml:space="preserve">EDUCATION &amp; CERTIFICATIONS</w:t>
      </w:r>
    </w:p>
    <w:p>
      <w:pPr>
        <w:pBdr>
          <w:bottom w:val="single" w:color="C8891E" w:sz="8" w:space="1"/>
        </w:pBdr>
        <w:spacing w:after="100" w:before="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1E35"/>
                <w:sz w:val="22"/>
                <w:szCs w:val="22"/>
              </w:rPr>
              <w:t xml:space="preserve">Education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▪  B.E. / B.Tech – Computer Science / IT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  (India)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1E35"/>
                <w:sz w:val="22"/>
                <w:szCs w:val="22"/>
              </w:rPr>
              <w:t xml:space="preserve">Storytelling &amp; Communication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▪  IIM Bangalore – Storytelling for Leaders</w:t>
            </w:r>
          </w:p>
        </w:tc>
        <w:tc>
          <w:tcPr>
            <w:tcW w:type="dxa" w:w="4600"/>
            <w:tcBorders>
              <w:top w:val="none"/>
              <w:left w:val="single" w:color="C8891E" w:sz="4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1E35"/>
                <w:sz w:val="22"/>
                <w:szCs w:val="22"/>
              </w:rPr>
              <w:t xml:space="preserve">Key Certifications (7 Total)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SAP Certified – Sourcing &amp; Procurement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SAP Certified – Ariba Procurement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SAP Certified – Ariba Integration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SAP Activate Project Manager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Scrum Master Certified (SMC)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IIM Bangalore – Storytelling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▪  ITIL Foundation</w:t>
            </w:r>
          </w:p>
        </w:tc>
      </w:tr>
    </w:tbl>
    <w:p>
      <w:pPr>
        <w:spacing w:after="0"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1E35"/>
          <w:sz w:val="22"/>
          <w:szCs w:val="22"/>
        </w:rPr>
        <w:t xml:space="preserve">TECHNICAL SKILLS</w:t>
      </w:r>
    </w:p>
    <w:p>
      <w:pPr>
        <w:pBdr>
          <w:bottom w:val="single" w:color="C8891E" w:sz="8" w:space="1"/>
        </w:pBdr>
        <w:spacing w:after="100" w:before="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0D1E35"/>
          <w:sz w:val="20"/>
          <w:szCs w:val="20"/>
        </w:rPr>
        <w:t xml:space="preserve">SAP Platforms: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SAP Ariba (B&amp;I, Sourcing, Contracts, SLP, Network) · SAP SRM · SAP MM · SAP S/4HANA · SAP BTP (Integration Suite, CPI) · SAP Fiori · SAP ECC · OneSRM · SCM Core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1E35"/>
          <w:sz w:val="20"/>
          <w:szCs w:val="20"/>
        </w:rPr>
        <w:t xml:space="preserve">Procurement Processes: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Procure-to-Pay (P2P) · Source-to-Contract (S2C) · Source-to-Pay (S2P) · Vendor Management · Catalog Management · Supplier Lifecycle Management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1E35"/>
          <w:sz w:val="20"/>
          <w:szCs w:val="20"/>
        </w:rPr>
        <w:t xml:space="preserve">Integration &amp; Architecture: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CIG (Cloud Integration Gateway) · SAP BTP API/iDOC · Ariba Commerce Automation · Ariba Network · S/4HANA Clean Core Extensions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1E35"/>
          <w:sz w:val="20"/>
          <w:szCs w:val="20"/>
        </w:rPr>
        <w:t xml:space="preserve">Methodology &amp; Delivery: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SAP Activate · ITIL v3/v4 · Scrum / Agile · Fit-Gap Analysis · Global Rollout Management · CoE Design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1E35"/>
          <w:sz w:val="20"/>
          <w:szCs w:val="20"/>
        </w:rPr>
        <w:t xml:space="preserve">Tools &amp; Governance: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ServiceNow · SAP MDG · LSMW · SOX Compliance · AMS Framework · KPI Dashboards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1E35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English (Fluent) · German (Conversational) · Hindi (Native)</w:t>
      </w:r>
    </w:p>
    <w:p>
      <w:pPr>
        <w:spacing w:after="0"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1E35"/>
          <w:sz w:val="22"/>
          <w:szCs w:val="22"/>
        </w:rPr>
        <w:t xml:space="preserve">INTERESTS</w:t>
      </w:r>
    </w:p>
    <w:p>
      <w:pPr>
        <w:pBdr>
          <w:bottom w:val="single" w:color="C8891E" w:sz="8" w:space="1"/>
        </w:pBdr>
        <w:spacing w:after="100" w:before="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Chess  ·  Badminton  ·  Table Tennis  ·  Options Trading</w:t>
      </w:r>
    </w:p>
    <w:sectPr>
      <w:headerReference w:type="default" r:id="rId7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0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02"/>
    </w:tblGrid>
    <w:tr>
      <w:tc>
        <w:tcPr>
          <w:tcBorders>
            <w:top w:val="none" w:sz="0"/>
            <w:left w:val="none" w:sz="0"/>
            <w:bottom w:val="none" w:sz="0"/>
            <w:right w:val="none" w:sz="0"/>
          </w:tcBorders>
          <w:shd w:fill="0D1E35" w:val="clear"/>
          <w:tcMar>
            <w:top w:type="dxa" w:w="200"/>
            <w:left w:type="dxa" w:w="300"/>
            <w:bottom w:type="dxa" w:w="160"/>
            <w:right w:type="dxa" w:w="300"/>
          </w:tcMar>
        </w:tcPr>
        <w:p>
          <w:pPr>
            <w:spacing w:after="60" w:before="0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52"/>
              <w:szCs w:val="52"/>
            </w:rPr>
            <w:t xml:space="preserve">AJIT GAUTAM</w:t>
          </w:r>
        </w:p>
        <w:p>
          <w:pPr>
            <w:spacing w:after="60" w:before="0"/>
            <w:jc w:val="center"/>
          </w:pPr>
          <w:r>
            <w:rPr>
              <w:rFonts w:ascii="Arial" w:cs="Arial" w:eastAsia="Arial" w:hAnsi="Arial"/>
              <w:i/>
              <w:iCs/>
              <w:color w:val="C8891E"/>
              <w:sz w:val="28"/>
              <w:szCs w:val="28"/>
            </w:rPr>
            <w:t xml:space="preserve">SAP Procurement &amp; BTP Leader</w:t>
          </w:r>
        </w:p>
        <w:p>
          <w:pPr>
            <w:spacing w:after="0" w:before="40"/>
            <w:jc w:val="center"/>
          </w:pPr>
          <w:r>
            <w:rPr>
              <w:rFonts w:ascii="Arial" w:cs="Arial" w:eastAsia="Arial" w:hAnsi="Arial"/>
              <w:color w:val="AAAAAA"/>
              <w:sz w:val="20"/>
              <w:szCs w:val="20"/>
            </w:rPr>
            <w:t xml:space="preserve">Munich, Bavaria, Germany  |  </w:t>
          </w:r>
          <w:r>
            <w:rPr>
              <w:rFonts w:ascii="Arial" w:cs="Arial" w:eastAsia="Arial" w:hAnsi="Arial"/>
              <w:color w:val="C8891E"/>
              <w:sz w:val="20"/>
              <w:szCs w:val="20"/>
            </w:rPr>
            <w:t xml:space="preserve">ajitgautam@email.com</w:t>
          </w:r>
          <w:r>
            <w:rPr>
              <w:rFonts w:ascii="Arial" w:cs="Arial" w:eastAsia="Arial" w:hAnsi="Arial"/>
              <w:color w:val="AAAAAA"/>
              <w:sz w:val="20"/>
              <w:szCs w:val="20"/>
            </w:rPr>
            <w:t xml:space="preserve">  |  linkedin.com/in/ajitgautam  |  +49 XXX XXXXXXX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2026-05-27T20:57:46.323Z</dcterms:created>
  <dcterms:modified xsi:type="dcterms:W3CDTF">2026-05-27T20:57:46.323Z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