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3491C" w14:textId="1A31C862" w:rsidR="00BC139C" w:rsidRPr="00BC139C" w:rsidRDefault="00BC139C" w:rsidP="0071497E">
      <w:pPr>
        <w:rPr>
          <w:b/>
          <w:bCs/>
          <w:sz w:val="36"/>
          <w:szCs w:val="36"/>
        </w:rPr>
      </w:pPr>
      <w:r w:rsidRPr="00BC139C">
        <w:rPr>
          <w:b/>
          <w:bCs/>
          <w:sz w:val="28"/>
          <w:szCs w:val="28"/>
        </w:rPr>
        <w:t xml:space="preserve">            </w:t>
      </w:r>
      <w:r w:rsidRPr="00BC139C">
        <w:rPr>
          <w:b/>
          <w:bCs/>
          <w:sz w:val="36"/>
          <w:szCs w:val="36"/>
        </w:rPr>
        <w:t>Hiring Process Analytics for a Multinational Company</w:t>
      </w:r>
    </w:p>
    <w:p w14:paraId="23471524" w14:textId="77777777" w:rsidR="00BC139C" w:rsidRDefault="00BC139C" w:rsidP="0071497E">
      <w:pPr>
        <w:rPr>
          <w:b/>
          <w:bCs/>
        </w:rPr>
      </w:pPr>
    </w:p>
    <w:p w14:paraId="48959632" w14:textId="0572E1A4" w:rsidR="0071497E" w:rsidRPr="0071497E" w:rsidRDefault="0071497E" w:rsidP="0071497E">
      <w:pPr>
        <w:rPr>
          <w:b/>
          <w:bCs/>
        </w:rPr>
      </w:pPr>
      <w:r w:rsidRPr="0071497E">
        <w:rPr>
          <w:b/>
          <w:bCs/>
        </w:rPr>
        <w:t>1. Hiring Analysis (Gender Distribution)</w:t>
      </w:r>
    </w:p>
    <w:p w14:paraId="2DAFDEB2" w14:textId="77777777" w:rsidR="0071497E" w:rsidRPr="0071497E" w:rsidRDefault="0071497E" w:rsidP="0071497E">
      <w:r w:rsidRPr="0071497E">
        <w:rPr>
          <w:b/>
          <w:bCs/>
        </w:rPr>
        <w:t>Objective</w:t>
      </w:r>
      <w:r w:rsidRPr="0071497E">
        <w:t>: Identify the number of male and female hires.</w:t>
      </w:r>
    </w:p>
    <w:p w14:paraId="057E0352" w14:textId="77777777" w:rsidR="0071497E" w:rsidRPr="0071497E" w:rsidRDefault="0071497E" w:rsidP="0071497E">
      <w:r w:rsidRPr="0071497E">
        <w:rPr>
          <w:b/>
          <w:bCs/>
        </w:rPr>
        <w:t>Findings</w:t>
      </w:r>
      <w:r w:rsidRPr="0071497E">
        <w:t>:</w:t>
      </w:r>
    </w:p>
    <w:p w14:paraId="4E522114" w14:textId="77777777" w:rsidR="0071497E" w:rsidRPr="0071497E" w:rsidRDefault="0071497E" w:rsidP="0071497E">
      <w:pPr>
        <w:numPr>
          <w:ilvl w:val="0"/>
          <w:numId w:val="2"/>
        </w:numPr>
      </w:pPr>
      <w:r w:rsidRPr="0071497E">
        <w:rPr>
          <w:b/>
          <w:bCs/>
        </w:rPr>
        <w:t>Number of Males Hired</w:t>
      </w:r>
      <w:r w:rsidRPr="0071497E">
        <w:t>: X (This number would be calculated based on the filtering of "Event Name" as "Male" and "Status" as "Hired").</w:t>
      </w:r>
    </w:p>
    <w:p w14:paraId="3FCBD043" w14:textId="77777777" w:rsidR="0071497E" w:rsidRPr="0071497E" w:rsidRDefault="0071497E" w:rsidP="0071497E">
      <w:pPr>
        <w:numPr>
          <w:ilvl w:val="0"/>
          <w:numId w:val="2"/>
        </w:numPr>
      </w:pPr>
      <w:r w:rsidRPr="0071497E">
        <w:rPr>
          <w:b/>
          <w:bCs/>
        </w:rPr>
        <w:t>Number of Females Hired</w:t>
      </w:r>
      <w:r w:rsidRPr="0071497E">
        <w:t>: Y (Similarly, filtered "Event Name" as "Female" and "Status" as "Hired").</w:t>
      </w:r>
    </w:p>
    <w:p w14:paraId="09016592" w14:textId="77777777" w:rsidR="0071497E" w:rsidRDefault="0071497E" w:rsidP="0071497E">
      <w:pPr>
        <w:numPr>
          <w:ilvl w:val="0"/>
          <w:numId w:val="2"/>
        </w:numPr>
      </w:pPr>
      <w:r w:rsidRPr="0071497E">
        <w:t>If a significant gender imbalance is noted, this could indicate a bias or a need for more inclusive hiring practices. Conversely, a well-balanced distribution would suggest effective gender-neutral recruitment strategies.</w:t>
      </w:r>
    </w:p>
    <w:p w14:paraId="16AB8363" w14:textId="07E4FF5C" w:rsidR="00BC139C" w:rsidRPr="0071497E" w:rsidRDefault="00BC139C" w:rsidP="00BC139C">
      <w:pPr>
        <w:ind w:left="720"/>
      </w:pPr>
      <w:r>
        <w:rPr>
          <w:noProof/>
        </w:rPr>
        <w:drawing>
          <wp:inline distT="0" distB="0" distL="0" distR="0" wp14:anchorId="77253360" wp14:editId="6930EA9A">
            <wp:extent cx="4610100" cy="2857500"/>
            <wp:effectExtent l="0" t="0" r="0" b="0"/>
            <wp:docPr id="8469745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F6BB32-BC51-4F8A-9C89-5A33F9B91D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A2539B" w14:textId="01FBB146" w:rsidR="0071497E" w:rsidRPr="0071497E" w:rsidRDefault="0071497E" w:rsidP="0071497E"/>
    <w:p w14:paraId="0F6E1251" w14:textId="77777777" w:rsidR="0071497E" w:rsidRPr="0071497E" w:rsidRDefault="0071497E" w:rsidP="0071497E">
      <w:pPr>
        <w:rPr>
          <w:b/>
          <w:bCs/>
        </w:rPr>
      </w:pPr>
      <w:r w:rsidRPr="0071497E">
        <w:rPr>
          <w:b/>
          <w:bCs/>
        </w:rPr>
        <w:t>2. Salary Analysis</w:t>
      </w:r>
    </w:p>
    <w:p w14:paraId="0CC158F6" w14:textId="77777777" w:rsidR="0071497E" w:rsidRPr="0071497E" w:rsidRDefault="0071497E" w:rsidP="0071497E">
      <w:r w:rsidRPr="0071497E">
        <w:rPr>
          <w:b/>
          <w:bCs/>
        </w:rPr>
        <w:t>Objective</w:t>
      </w:r>
      <w:r w:rsidRPr="0071497E">
        <w:t>: Calculate the average salary offered by the company.</w:t>
      </w:r>
    </w:p>
    <w:p w14:paraId="7E7462B1" w14:textId="77777777" w:rsidR="0071497E" w:rsidRPr="0071497E" w:rsidRDefault="0071497E" w:rsidP="0071497E">
      <w:r w:rsidRPr="0071497E">
        <w:rPr>
          <w:b/>
          <w:bCs/>
        </w:rPr>
        <w:t>Findings</w:t>
      </w:r>
      <w:r w:rsidRPr="0071497E">
        <w:t>:</w:t>
      </w:r>
    </w:p>
    <w:p w14:paraId="51FB0F0B" w14:textId="77777777" w:rsidR="0071497E" w:rsidRPr="0071497E" w:rsidRDefault="0071497E" w:rsidP="0071497E">
      <w:pPr>
        <w:numPr>
          <w:ilvl w:val="0"/>
          <w:numId w:val="4"/>
        </w:numPr>
      </w:pPr>
      <w:r w:rsidRPr="0071497E">
        <w:rPr>
          <w:b/>
          <w:bCs/>
        </w:rPr>
        <w:t>Average Salary Offered</w:t>
      </w:r>
      <w:r w:rsidRPr="0071497E">
        <w:t xml:space="preserve">: Calculated using the </w:t>
      </w:r>
      <w:proofErr w:type="gramStart"/>
      <w:r w:rsidRPr="0071497E">
        <w:t>AVERAGE(</w:t>
      </w:r>
      <w:proofErr w:type="gramEnd"/>
      <w:r w:rsidRPr="0071497E">
        <w:t xml:space="preserve">) function on the </w:t>
      </w:r>
      <w:r w:rsidRPr="0071497E">
        <w:rPr>
          <w:b/>
          <w:bCs/>
        </w:rPr>
        <w:t>Offered Salary</w:t>
      </w:r>
      <w:r w:rsidRPr="0071497E">
        <w:t xml:space="preserve"> column. Based on your data, the result would give a rough idea of the salary levels in the organization.</w:t>
      </w:r>
    </w:p>
    <w:p w14:paraId="277D04D2" w14:textId="77777777" w:rsidR="0071497E" w:rsidRDefault="0071497E" w:rsidP="0071497E">
      <w:pPr>
        <w:numPr>
          <w:ilvl w:val="0"/>
          <w:numId w:val="4"/>
        </w:numPr>
      </w:pPr>
      <w:r w:rsidRPr="0071497E">
        <w:t>A high average salary might reflect senior-level positions or a company offering competitive salaries within its industry.</w:t>
      </w:r>
    </w:p>
    <w:p w14:paraId="7ACF338B" w14:textId="2A771A97" w:rsidR="00BC139C" w:rsidRDefault="00BC139C" w:rsidP="00BC139C">
      <w:pPr>
        <w:ind w:left="720"/>
      </w:pPr>
      <w:r>
        <w:rPr>
          <w:noProof/>
        </w:rPr>
        <w:lastRenderedPageBreak/>
        <w:drawing>
          <wp:inline distT="0" distB="0" distL="0" distR="0" wp14:anchorId="3643D551" wp14:editId="635B62AF">
            <wp:extent cx="5305424" cy="287655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7AAA0ED-5447-9835-9BE1-75C043119F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7AAA0ED-5447-9835-9BE1-75C043119F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A42C" w14:textId="61A855E9" w:rsidR="00BC139C" w:rsidRPr="0071497E" w:rsidRDefault="00BC139C" w:rsidP="00BC139C">
      <w:r>
        <w:t xml:space="preserve">         </w:t>
      </w:r>
    </w:p>
    <w:p w14:paraId="022EAE61" w14:textId="2FCC724B" w:rsidR="0071497E" w:rsidRPr="0071497E" w:rsidRDefault="0071497E" w:rsidP="0071497E"/>
    <w:p w14:paraId="53E47AA8" w14:textId="77777777" w:rsidR="0071497E" w:rsidRPr="0071497E" w:rsidRDefault="0071497E" w:rsidP="0071497E">
      <w:pPr>
        <w:rPr>
          <w:b/>
          <w:bCs/>
        </w:rPr>
      </w:pPr>
      <w:r w:rsidRPr="0071497E">
        <w:rPr>
          <w:b/>
          <w:bCs/>
        </w:rPr>
        <w:t>3. Salary Distribution (Class Intervals)</w:t>
      </w:r>
    </w:p>
    <w:p w14:paraId="7F425A71" w14:textId="77777777" w:rsidR="0071497E" w:rsidRPr="0071497E" w:rsidRDefault="0071497E" w:rsidP="0071497E">
      <w:r w:rsidRPr="0071497E">
        <w:rPr>
          <w:b/>
          <w:bCs/>
        </w:rPr>
        <w:t>Objective</w:t>
      </w:r>
      <w:r w:rsidRPr="0071497E">
        <w:t>: Create class intervals for the salary data to understand salary distribution.</w:t>
      </w:r>
    </w:p>
    <w:p w14:paraId="06E342B1" w14:textId="77777777" w:rsidR="0071497E" w:rsidRPr="0071497E" w:rsidRDefault="0071497E" w:rsidP="0071497E">
      <w:r w:rsidRPr="0071497E">
        <w:rPr>
          <w:b/>
          <w:bCs/>
        </w:rPr>
        <w:t>Findings</w:t>
      </w:r>
      <w:r w:rsidRPr="0071497E">
        <w:t>:</w:t>
      </w:r>
    </w:p>
    <w:p w14:paraId="578222EB" w14:textId="77777777" w:rsidR="0071497E" w:rsidRPr="0071497E" w:rsidRDefault="0071497E" w:rsidP="0071497E">
      <w:pPr>
        <w:numPr>
          <w:ilvl w:val="0"/>
          <w:numId w:val="6"/>
        </w:numPr>
      </w:pPr>
      <w:r w:rsidRPr="0071497E">
        <w:t>The salary distribution likely shows a concentration of employees in certain salary ranges, depending on the structure of the company.</w:t>
      </w:r>
    </w:p>
    <w:p w14:paraId="36826810" w14:textId="77777777" w:rsidR="0071497E" w:rsidRPr="0071497E" w:rsidRDefault="0071497E" w:rsidP="0071497E">
      <w:pPr>
        <w:numPr>
          <w:ilvl w:val="0"/>
          <w:numId w:val="6"/>
        </w:numPr>
      </w:pPr>
      <w:r w:rsidRPr="0071497E">
        <w:t>For example, if most employees are within the lower salary ranges, the company might have a large number of entry-level employees or workers in less-senior roles.</w:t>
      </w:r>
    </w:p>
    <w:p w14:paraId="43DF0DB9" w14:textId="37C06629" w:rsidR="0071497E" w:rsidRPr="0071497E" w:rsidRDefault="00BC139C" w:rsidP="0071497E">
      <w:r>
        <w:lastRenderedPageBreak/>
        <w:t xml:space="preserve">             </w:t>
      </w:r>
      <w:r>
        <w:rPr>
          <w:noProof/>
        </w:rPr>
        <w:drawing>
          <wp:inline distT="0" distB="0" distL="0" distR="0" wp14:anchorId="6B1C0DC8" wp14:editId="2E499829">
            <wp:extent cx="4686300" cy="2867024"/>
            <wp:effectExtent l="0" t="0" r="0" b="10160"/>
            <wp:docPr id="8963321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797C21-4017-461F-8250-7BCC1518B2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9F40B1" w14:textId="77777777" w:rsidR="00BC139C" w:rsidRDefault="00BC139C" w:rsidP="0071497E">
      <w:pPr>
        <w:rPr>
          <w:b/>
          <w:bCs/>
        </w:rPr>
      </w:pPr>
    </w:p>
    <w:p w14:paraId="6E9DEC25" w14:textId="77777777" w:rsidR="00BC139C" w:rsidRDefault="00BC139C" w:rsidP="0071497E">
      <w:pPr>
        <w:rPr>
          <w:b/>
          <w:bCs/>
        </w:rPr>
      </w:pPr>
    </w:p>
    <w:p w14:paraId="5F1E38DD" w14:textId="3F81B8DE" w:rsidR="0071497E" w:rsidRPr="0071497E" w:rsidRDefault="0071497E" w:rsidP="0071497E">
      <w:pPr>
        <w:rPr>
          <w:b/>
          <w:bCs/>
        </w:rPr>
      </w:pPr>
      <w:r w:rsidRPr="0071497E">
        <w:rPr>
          <w:b/>
          <w:bCs/>
        </w:rPr>
        <w:t>4. Departmental Analysis</w:t>
      </w:r>
    </w:p>
    <w:p w14:paraId="25785B24" w14:textId="77777777" w:rsidR="0071497E" w:rsidRPr="0071497E" w:rsidRDefault="0071497E" w:rsidP="0071497E">
      <w:r w:rsidRPr="0071497E">
        <w:rPr>
          <w:b/>
          <w:bCs/>
        </w:rPr>
        <w:t>Objective</w:t>
      </w:r>
      <w:r w:rsidRPr="0071497E">
        <w:t>: Show the proportion of employees in different departments using charts.</w:t>
      </w:r>
    </w:p>
    <w:p w14:paraId="02264412" w14:textId="77777777" w:rsidR="0071497E" w:rsidRPr="0071497E" w:rsidRDefault="0071497E" w:rsidP="0071497E">
      <w:r w:rsidRPr="0071497E">
        <w:rPr>
          <w:b/>
          <w:bCs/>
        </w:rPr>
        <w:t>Findings</w:t>
      </w:r>
      <w:r w:rsidRPr="0071497E">
        <w:t>:</w:t>
      </w:r>
    </w:p>
    <w:p w14:paraId="110E0E08" w14:textId="77777777" w:rsidR="0071497E" w:rsidRPr="0071497E" w:rsidRDefault="0071497E" w:rsidP="0071497E">
      <w:pPr>
        <w:numPr>
          <w:ilvl w:val="0"/>
          <w:numId w:val="8"/>
        </w:numPr>
      </w:pPr>
      <w:r w:rsidRPr="0071497E">
        <w:t xml:space="preserve">The </w:t>
      </w:r>
      <w:r w:rsidRPr="0071497E">
        <w:rPr>
          <w:b/>
          <w:bCs/>
        </w:rPr>
        <w:t>Operations Department</w:t>
      </w:r>
      <w:r w:rsidRPr="0071497E">
        <w:t xml:space="preserve"> has the highest number of hires (2771), followed by </w:t>
      </w:r>
      <w:r w:rsidRPr="0071497E">
        <w:rPr>
          <w:b/>
          <w:bCs/>
        </w:rPr>
        <w:t>Service Department</w:t>
      </w:r>
      <w:r w:rsidRPr="0071497E">
        <w:t xml:space="preserve"> (2055).</w:t>
      </w:r>
    </w:p>
    <w:p w14:paraId="633CF1D1" w14:textId="77777777" w:rsidR="0071497E" w:rsidRPr="0071497E" w:rsidRDefault="0071497E" w:rsidP="0071497E">
      <w:pPr>
        <w:numPr>
          <w:ilvl w:val="0"/>
          <w:numId w:val="8"/>
        </w:numPr>
      </w:pPr>
      <w:r w:rsidRPr="0071497E">
        <w:t>This indicates that these departments might be experiencing more activity or are critical parts of the business.</w:t>
      </w:r>
    </w:p>
    <w:p w14:paraId="3415D683" w14:textId="77777777" w:rsidR="0071497E" w:rsidRPr="0071497E" w:rsidRDefault="0071497E" w:rsidP="0071497E">
      <w:pPr>
        <w:numPr>
          <w:ilvl w:val="0"/>
          <w:numId w:val="8"/>
        </w:numPr>
      </w:pPr>
      <w:r w:rsidRPr="0071497E">
        <w:rPr>
          <w:b/>
          <w:bCs/>
        </w:rPr>
        <w:t>Departments with fewer hires</w:t>
      </w:r>
      <w:r w:rsidRPr="0071497E">
        <w:t xml:space="preserve"> like </w:t>
      </w:r>
      <w:r w:rsidRPr="0071497E">
        <w:rPr>
          <w:b/>
          <w:bCs/>
        </w:rPr>
        <w:t>Human Resource</w:t>
      </w:r>
      <w:r w:rsidRPr="0071497E">
        <w:t xml:space="preserve"> or </w:t>
      </w:r>
      <w:r w:rsidRPr="0071497E">
        <w:rPr>
          <w:b/>
          <w:bCs/>
        </w:rPr>
        <w:t>General Management</w:t>
      </w:r>
      <w:r w:rsidRPr="0071497E">
        <w:t xml:space="preserve"> suggest that these functions might be smaller or have lower turnover.</w:t>
      </w:r>
    </w:p>
    <w:p w14:paraId="06EED170" w14:textId="2BFFF63F" w:rsidR="00BC139C" w:rsidRPr="0071497E" w:rsidRDefault="00BC139C" w:rsidP="0071497E">
      <w:r>
        <w:lastRenderedPageBreak/>
        <w:t xml:space="preserve">             </w:t>
      </w:r>
      <w:r>
        <w:rPr>
          <w:noProof/>
        </w:rPr>
        <w:drawing>
          <wp:inline distT="0" distB="0" distL="0" distR="0" wp14:anchorId="15968CEE" wp14:editId="4BA94939">
            <wp:extent cx="5391150" cy="3164098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0BD1EF9-5569-B76D-E5D0-02C8850561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0BD1EF9-5569-B76D-E5D0-02C8850561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895B" w14:textId="77777777" w:rsidR="0071497E" w:rsidRPr="0071497E" w:rsidRDefault="0071497E" w:rsidP="0071497E">
      <w:pPr>
        <w:rPr>
          <w:b/>
          <w:bCs/>
        </w:rPr>
      </w:pPr>
      <w:r w:rsidRPr="0071497E">
        <w:rPr>
          <w:b/>
          <w:bCs/>
        </w:rPr>
        <w:t>5. Position Tier Analysis</w:t>
      </w:r>
    </w:p>
    <w:p w14:paraId="69D757ED" w14:textId="77777777" w:rsidR="0071497E" w:rsidRPr="0071497E" w:rsidRDefault="0071497E" w:rsidP="0071497E">
      <w:r w:rsidRPr="0071497E">
        <w:rPr>
          <w:b/>
          <w:bCs/>
        </w:rPr>
        <w:t>Objective</w:t>
      </w:r>
      <w:r w:rsidRPr="0071497E">
        <w:t>: Visualize the distribution of hires across different position tiers.</w:t>
      </w:r>
    </w:p>
    <w:p w14:paraId="04584C2A" w14:textId="77777777" w:rsidR="0071497E" w:rsidRPr="0071497E" w:rsidRDefault="0071497E" w:rsidP="0071497E">
      <w:r w:rsidRPr="0071497E">
        <w:rPr>
          <w:b/>
          <w:bCs/>
        </w:rPr>
        <w:t>Findings</w:t>
      </w:r>
      <w:r w:rsidRPr="0071497E">
        <w:t>:</w:t>
      </w:r>
    </w:p>
    <w:p w14:paraId="4A6E8CCC" w14:textId="77777777" w:rsidR="0071497E" w:rsidRPr="0071497E" w:rsidRDefault="0071497E" w:rsidP="0071497E">
      <w:pPr>
        <w:numPr>
          <w:ilvl w:val="0"/>
          <w:numId w:val="10"/>
        </w:numPr>
      </w:pPr>
      <w:r w:rsidRPr="0071497E">
        <w:t xml:space="preserve">If a majority of hires are in </w:t>
      </w:r>
      <w:r w:rsidRPr="0071497E">
        <w:rPr>
          <w:b/>
          <w:bCs/>
        </w:rPr>
        <w:t>entry-level</w:t>
      </w:r>
      <w:r w:rsidRPr="0071497E">
        <w:t xml:space="preserve"> positions, it may indicate high turnover or new business expansion.</w:t>
      </w:r>
    </w:p>
    <w:p w14:paraId="0E1C4807" w14:textId="77777777" w:rsidR="0071497E" w:rsidRPr="0071497E" w:rsidRDefault="0071497E" w:rsidP="0071497E">
      <w:pPr>
        <w:numPr>
          <w:ilvl w:val="0"/>
          <w:numId w:val="10"/>
        </w:numPr>
      </w:pPr>
      <w:r w:rsidRPr="0071497E">
        <w:t xml:space="preserve">Conversely, if the company is hiring more </w:t>
      </w:r>
      <w:r w:rsidRPr="0071497E">
        <w:rPr>
          <w:b/>
          <w:bCs/>
        </w:rPr>
        <w:t>senior-level positions</w:t>
      </w:r>
      <w:r w:rsidRPr="0071497E">
        <w:t>, this could suggest an organizational restructuring or leadership hiring strategy.</w:t>
      </w:r>
    </w:p>
    <w:p w14:paraId="6E03E6D1" w14:textId="7425AF33" w:rsidR="0071497E" w:rsidRPr="0071497E" w:rsidRDefault="00BC139C" w:rsidP="0071497E">
      <w:r>
        <w:lastRenderedPageBreak/>
        <w:t xml:space="preserve">              </w:t>
      </w:r>
      <w:r>
        <w:rPr>
          <w:noProof/>
        </w:rPr>
        <w:drawing>
          <wp:inline distT="0" distB="0" distL="0" distR="0" wp14:anchorId="64BF23F2" wp14:editId="13D2F4D3">
            <wp:extent cx="4572000" cy="3171825"/>
            <wp:effectExtent l="0" t="0" r="0" b="9525"/>
            <wp:docPr id="16834207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8592D3-4149-442B-947B-0A6FBA7B8A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BADB8F" w14:textId="77777777" w:rsidR="0071497E" w:rsidRPr="0071497E" w:rsidRDefault="0071497E" w:rsidP="0071497E">
      <w:pPr>
        <w:rPr>
          <w:b/>
          <w:bCs/>
        </w:rPr>
      </w:pPr>
      <w:r w:rsidRPr="0071497E">
        <w:rPr>
          <w:b/>
          <w:bCs/>
        </w:rPr>
        <w:t>6. Interview Time Analysis</w:t>
      </w:r>
    </w:p>
    <w:p w14:paraId="6985CBB2" w14:textId="77777777" w:rsidR="0071497E" w:rsidRPr="0071497E" w:rsidRDefault="0071497E" w:rsidP="0071497E">
      <w:r w:rsidRPr="0071497E">
        <w:rPr>
          <w:b/>
          <w:bCs/>
        </w:rPr>
        <w:t>Objective</w:t>
      </w:r>
      <w:r w:rsidRPr="0071497E">
        <w:t>: Identify trends related to the time or date of interviews and their correlation with hiring outcomes.</w:t>
      </w:r>
    </w:p>
    <w:p w14:paraId="79476CFF" w14:textId="77777777" w:rsidR="0071497E" w:rsidRPr="0071497E" w:rsidRDefault="0071497E" w:rsidP="0071497E">
      <w:r w:rsidRPr="0071497E">
        <w:rPr>
          <w:b/>
          <w:bCs/>
        </w:rPr>
        <w:t>Findings</w:t>
      </w:r>
      <w:r w:rsidRPr="0071497E">
        <w:t>:</w:t>
      </w:r>
    </w:p>
    <w:p w14:paraId="442D77DC" w14:textId="77777777" w:rsidR="0071497E" w:rsidRPr="0071497E" w:rsidRDefault="0071497E" w:rsidP="0071497E">
      <w:pPr>
        <w:numPr>
          <w:ilvl w:val="0"/>
          <w:numId w:val="12"/>
        </w:numPr>
      </w:pPr>
      <w:r w:rsidRPr="0071497E">
        <w:t>The data might show that certain months (e.g., post-fiscal year) experience more interviews or higher hiring rates.</w:t>
      </w:r>
    </w:p>
    <w:p w14:paraId="1F5C0B44" w14:textId="77777777" w:rsidR="0071497E" w:rsidRPr="0071497E" w:rsidRDefault="0071497E" w:rsidP="0071497E">
      <w:pPr>
        <w:numPr>
          <w:ilvl w:val="0"/>
          <w:numId w:val="12"/>
        </w:numPr>
      </w:pPr>
      <w:r w:rsidRPr="0071497E">
        <w:t xml:space="preserve">For instance, the </w:t>
      </w:r>
      <w:r w:rsidRPr="0071497E">
        <w:rPr>
          <w:b/>
          <w:bCs/>
        </w:rPr>
        <w:t>end of the year</w:t>
      </w:r>
      <w:r w:rsidRPr="0071497E">
        <w:t xml:space="preserve"> or </w:t>
      </w:r>
      <w:r w:rsidRPr="0071497E">
        <w:rPr>
          <w:b/>
          <w:bCs/>
        </w:rPr>
        <w:t>holiday seasons</w:t>
      </w:r>
      <w:r w:rsidRPr="0071497E">
        <w:t xml:space="preserve"> may see fewer hires due to budget constraints, while </w:t>
      </w:r>
      <w:r w:rsidRPr="0071497E">
        <w:rPr>
          <w:b/>
          <w:bCs/>
        </w:rPr>
        <w:t>Q1</w:t>
      </w:r>
      <w:r w:rsidRPr="0071497E">
        <w:t xml:space="preserve"> may have higher hiring activity as companies ramp up for new fiscal goals.</w:t>
      </w:r>
    </w:p>
    <w:p w14:paraId="2928E91A" w14:textId="26112444" w:rsidR="0071497E" w:rsidRPr="0071497E" w:rsidRDefault="00BC139C" w:rsidP="0071497E">
      <w:r>
        <w:lastRenderedPageBreak/>
        <w:t xml:space="preserve">      </w:t>
      </w:r>
      <w:r>
        <w:rPr>
          <w:noProof/>
        </w:rPr>
        <w:drawing>
          <wp:inline distT="0" distB="0" distL="0" distR="0" wp14:anchorId="7AA90091" wp14:editId="4087BFE6">
            <wp:extent cx="4572000" cy="3162300"/>
            <wp:effectExtent l="0" t="0" r="0" b="0"/>
            <wp:docPr id="7965305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0241B8-7063-41EE-B45F-50E5CAE52A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83432B" w14:textId="77777777" w:rsidR="0071497E" w:rsidRPr="0071497E" w:rsidRDefault="0071497E" w:rsidP="0071497E">
      <w:pPr>
        <w:rPr>
          <w:b/>
          <w:bCs/>
        </w:rPr>
      </w:pPr>
      <w:r w:rsidRPr="0071497E">
        <w:rPr>
          <w:b/>
          <w:bCs/>
        </w:rPr>
        <w:t>7. Interview Metrics Analysis</w:t>
      </w:r>
    </w:p>
    <w:p w14:paraId="43B48F5A" w14:textId="77777777" w:rsidR="0071497E" w:rsidRPr="0071497E" w:rsidRDefault="0071497E" w:rsidP="0071497E">
      <w:r w:rsidRPr="0071497E">
        <w:rPr>
          <w:b/>
          <w:bCs/>
        </w:rPr>
        <w:t>Objective</w:t>
      </w:r>
      <w:r w:rsidRPr="0071497E">
        <w:t>: Calculate metrics such as the average number of interviews per department, average time-to-hire, etc.</w:t>
      </w:r>
    </w:p>
    <w:p w14:paraId="13B3EF71" w14:textId="77777777" w:rsidR="0071497E" w:rsidRPr="0071497E" w:rsidRDefault="0071497E" w:rsidP="0071497E">
      <w:r w:rsidRPr="0071497E">
        <w:rPr>
          <w:b/>
          <w:bCs/>
        </w:rPr>
        <w:t>Findings</w:t>
      </w:r>
      <w:r w:rsidRPr="0071497E">
        <w:t>:</w:t>
      </w:r>
    </w:p>
    <w:p w14:paraId="78F56D48" w14:textId="77777777" w:rsidR="0071497E" w:rsidRPr="0071497E" w:rsidRDefault="0071497E" w:rsidP="0071497E">
      <w:pPr>
        <w:numPr>
          <w:ilvl w:val="0"/>
          <w:numId w:val="14"/>
        </w:numPr>
      </w:pPr>
      <w:r w:rsidRPr="0071497E">
        <w:t xml:space="preserve">Departments with more hires, like </w:t>
      </w:r>
      <w:r w:rsidRPr="0071497E">
        <w:rPr>
          <w:b/>
          <w:bCs/>
        </w:rPr>
        <w:t>Operations</w:t>
      </w:r>
      <w:r w:rsidRPr="0071497E">
        <w:t>, might have higher interview counts but might also be more efficient in hiring (e.g., quicker turnaround).</w:t>
      </w:r>
    </w:p>
    <w:p w14:paraId="7A6E5BF0" w14:textId="77777777" w:rsidR="0071497E" w:rsidRPr="0071497E" w:rsidRDefault="0071497E" w:rsidP="0071497E">
      <w:pPr>
        <w:numPr>
          <w:ilvl w:val="0"/>
          <w:numId w:val="14"/>
        </w:numPr>
      </w:pPr>
      <w:r w:rsidRPr="0071497E">
        <w:rPr>
          <w:b/>
          <w:bCs/>
        </w:rPr>
        <w:t>Average Time-to-Hire</w:t>
      </w:r>
      <w:r w:rsidRPr="0071497E">
        <w:t xml:space="preserve">: Departments like </w:t>
      </w:r>
      <w:r w:rsidRPr="0071497E">
        <w:rPr>
          <w:b/>
          <w:bCs/>
        </w:rPr>
        <w:t>Sales</w:t>
      </w:r>
      <w:r w:rsidRPr="0071497E">
        <w:t xml:space="preserve"> might have a quicker hiring process compared to more technical departments, which could have multiple interview rounds.</w:t>
      </w:r>
    </w:p>
    <w:p w14:paraId="76C9FEE5" w14:textId="77777777" w:rsidR="0071497E" w:rsidRPr="0071497E" w:rsidRDefault="0071497E" w:rsidP="0071497E">
      <w:pPr>
        <w:numPr>
          <w:ilvl w:val="0"/>
          <w:numId w:val="14"/>
        </w:numPr>
      </w:pPr>
      <w:r w:rsidRPr="0071497E">
        <w:t>If there are bottlenecks in specific departments, it could indicate inefficiencies in the hiring process that need to be addressed.</w:t>
      </w:r>
    </w:p>
    <w:p w14:paraId="747953AA" w14:textId="13D26451" w:rsidR="00BC139C" w:rsidRPr="0071497E" w:rsidRDefault="00BC139C" w:rsidP="0071497E">
      <w:r>
        <w:lastRenderedPageBreak/>
        <w:t xml:space="preserve">      </w:t>
      </w:r>
      <w:r>
        <w:rPr>
          <w:noProof/>
        </w:rPr>
        <w:drawing>
          <wp:inline distT="0" distB="0" distL="0" distR="0" wp14:anchorId="095F4461" wp14:editId="26CF059F">
            <wp:extent cx="5400675" cy="2743200"/>
            <wp:effectExtent l="0" t="0" r="9525" b="0"/>
            <wp:docPr id="16460052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A52948-C14F-48A6-A134-19BBA768AF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48E844" w14:textId="77777777" w:rsidR="0071497E" w:rsidRPr="0071497E" w:rsidRDefault="0071497E" w:rsidP="0071497E">
      <w:pPr>
        <w:rPr>
          <w:b/>
          <w:bCs/>
        </w:rPr>
      </w:pPr>
      <w:r w:rsidRPr="0071497E">
        <w:rPr>
          <w:b/>
          <w:bCs/>
        </w:rPr>
        <w:t>8. Departmental Hiring Trends Comparison</w:t>
      </w:r>
    </w:p>
    <w:p w14:paraId="1603710A" w14:textId="77777777" w:rsidR="0071497E" w:rsidRPr="0071497E" w:rsidRDefault="0071497E" w:rsidP="0071497E">
      <w:r w:rsidRPr="0071497E">
        <w:rPr>
          <w:b/>
          <w:bCs/>
        </w:rPr>
        <w:t>Objective</w:t>
      </w:r>
      <w:r w:rsidRPr="0071497E">
        <w:t>: Compare hiring trends by analyzing the number of hires, rejections, and time-to-hire across different departments.</w:t>
      </w:r>
    </w:p>
    <w:p w14:paraId="17D7065D" w14:textId="77777777" w:rsidR="0071497E" w:rsidRPr="0071497E" w:rsidRDefault="0071497E" w:rsidP="0071497E">
      <w:r w:rsidRPr="0071497E">
        <w:rPr>
          <w:b/>
          <w:bCs/>
        </w:rPr>
        <w:t>Findings</w:t>
      </w:r>
      <w:r w:rsidRPr="0071497E">
        <w:t>:</w:t>
      </w:r>
    </w:p>
    <w:p w14:paraId="2F1BD29C" w14:textId="77777777" w:rsidR="0071497E" w:rsidRPr="0071497E" w:rsidRDefault="0071497E" w:rsidP="0071497E">
      <w:pPr>
        <w:numPr>
          <w:ilvl w:val="0"/>
          <w:numId w:val="16"/>
        </w:numPr>
      </w:pPr>
      <w:r w:rsidRPr="0071497E">
        <w:t xml:space="preserve">The </w:t>
      </w:r>
      <w:r w:rsidRPr="0071497E">
        <w:rPr>
          <w:b/>
          <w:bCs/>
        </w:rPr>
        <w:t>Operations</w:t>
      </w:r>
      <w:r w:rsidRPr="0071497E">
        <w:t xml:space="preserve"> and </w:t>
      </w:r>
      <w:r w:rsidRPr="0071497E">
        <w:rPr>
          <w:b/>
          <w:bCs/>
        </w:rPr>
        <w:t>Service</w:t>
      </w:r>
      <w:r w:rsidRPr="0071497E">
        <w:t xml:space="preserve"> departments may show a high hiring rate, with the </w:t>
      </w:r>
      <w:r w:rsidRPr="0071497E">
        <w:rPr>
          <w:b/>
          <w:bCs/>
        </w:rPr>
        <w:t>Sales</w:t>
      </w:r>
      <w:r w:rsidRPr="0071497E">
        <w:t xml:space="preserve"> and </w:t>
      </w:r>
      <w:r w:rsidRPr="0071497E">
        <w:rPr>
          <w:b/>
          <w:bCs/>
        </w:rPr>
        <w:t>Production</w:t>
      </w:r>
      <w:r w:rsidRPr="0071497E">
        <w:t xml:space="preserve"> departments showing moderate success.</w:t>
      </w:r>
    </w:p>
    <w:p w14:paraId="596B86AF" w14:textId="77777777" w:rsidR="0071497E" w:rsidRPr="0071497E" w:rsidRDefault="0071497E" w:rsidP="0071497E">
      <w:pPr>
        <w:numPr>
          <w:ilvl w:val="0"/>
          <w:numId w:val="16"/>
        </w:numPr>
      </w:pPr>
      <w:r w:rsidRPr="0071497E">
        <w:rPr>
          <w:b/>
          <w:bCs/>
        </w:rPr>
        <w:t>Departments with higher rejection rates</w:t>
      </w:r>
      <w:r w:rsidRPr="0071497E">
        <w:t xml:space="preserve"> may need to reassess their recruitment strategies or review the qualifications of applicants.</w:t>
      </w:r>
    </w:p>
    <w:p w14:paraId="0D1AC384" w14:textId="77777777" w:rsidR="0071497E" w:rsidRPr="0071497E" w:rsidRDefault="0071497E" w:rsidP="0071497E">
      <w:pPr>
        <w:numPr>
          <w:ilvl w:val="0"/>
          <w:numId w:val="16"/>
        </w:numPr>
      </w:pPr>
      <w:r w:rsidRPr="0071497E">
        <w:t xml:space="preserve">A comparison of </w:t>
      </w:r>
      <w:r w:rsidRPr="0071497E">
        <w:rPr>
          <w:b/>
          <w:bCs/>
        </w:rPr>
        <w:t>hire-to-rejection ratios</w:t>
      </w:r>
      <w:r w:rsidRPr="0071497E">
        <w:t xml:space="preserve"> could indicate which departments are more selective or have more stringent hiring standards.</w:t>
      </w:r>
    </w:p>
    <w:p w14:paraId="56CB4D8F" w14:textId="0526486A" w:rsidR="0071497E" w:rsidRDefault="00BC139C" w:rsidP="0071497E">
      <w:r>
        <w:t xml:space="preserve">             </w:t>
      </w:r>
      <w:r>
        <w:rPr>
          <w:noProof/>
        </w:rPr>
        <w:drawing>
          <wp:inline distT="0" distB="0" distL="0" distR="0" wp14:anchorId="28B4CA59" wp14:editId="3AC388E1">
            <wp:extent cx="4572000" cy="2743200"/>
            <wp:effectExtent l="0" t="0" r="0" b="0"/>
            <wp:docPr id="3697844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1F04E6-5FBC-4942-BE5C-B9E1F1D186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E030136" w14:textId="77777777" w:rsidR="00BC139C" w:rsidRDefault="00BC139C" w:rsidP="0071497E"/>
    <w:p w14:paraId="46507C64" w14:textId="4AF30133" w:rsidR="00BC139C" w:rsidRPr="0071497E" w:rsidRDefault="00BC139C" w:rsidP="0071497E">
      <w:r>
        <w:t xml:space="preserve">             </w:t>
      </w:r>
      <w:r>
        <w:rPr>
          <w:noProof/>
        </w:rPr>
        <w:drawing>
          <wp:inline distT="0" distB="0" distL="0" distR="0" wp14:anchorId="6781D153" wp14:editId="7A484826">
            <wp:extent cx="4572000" cy="2743200"/>
            <wp:effectExtent l="0" t="0" r="0" b="0"/>
            <wp:docPr id="8263185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0B7946-0EEE-4953-A4C3-C7D0F0D347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06B400A" w14:textId="62B2D755" w:rsidR="0071497E" w:rsidRPr="0071497E" w:rsidRDefault="0071497E" w:rsidP="0071497E">
      <w:pPr>
        <w:rPr>
          <w:b/>
          <w:bCs/>
        </w:rPr>
      </w:pPr>
      <w:r w:rsidRPr="0071497E">
        <w:rPr>
          <w:b/>
          <w:bCs/>
        </w:rPr>
        <w:t>Insights from All Tasks:</w:t>
      </w:r>
    </w:p>
    <w:p w14:paraId="3D849859" w14:textId="77777777" w:rsidR="0071497E" w:rsidRPr="0071497E" w:rsidRDefault="0071497E" w:rsidP="0071497E">
      <w:pPr>
        <w:numPr>
          <w:ilvl w:val="0"/>
          <w:numId w:val="17"/>
        </w:numPr>
      </w:pPr>
      <w:r w:rsidRPr="0071497E">
        <w:rPr>
          <w:b/>
          <w:bCs/>
        </w:rPr>
        <w:t>Hiring Trends</w:t>
      </w:r>
      <w:r w:rsidRPr="0071497E">
        <w:t xml:space="preserve">: Departments like </w:t>
      </w:r>
      <w:r w:rsidRPr="0071497E">
        <w:rPr>
          <w:b/>
          <w:bCs/>
        </w:rPr>
        <w:t>Operations</w:t>
      </w:r>
      <w:r w:rsidRPr="0071497E">
        <w:t xml:space="preserve"> and </w:t>
      </w:r>
      <w:r w:rsidRPr="0071497E">
        <w:rPr>
          <w:b/>
          <w:bCs/>
        </w:rPr>
        <w:t>Service</w:t>
      </w:r>
      <w:r w:rsidRPr="0071497E">
        <w:t xml:space="preserve"> are hiring at a much higher rate compared to others. This could suggest these departments are expanding or facing higher turnover.</w:t>
      </w:r>
    </w:p>
    <w:p w14:paraId="22D56A92" w14:textId="77777777" w:rsidR="0071497E" w:rsidRPr="0071497E" w:rsidRDefault="0071497E" w:rsidP="0071497E">
      <w:pPr>
        <w:numPr>
          <w:ilvl w:val="0"/>
          <w:numId w:val="17"/>
        </w:numPr>
      </w:pPr>
      <w:r w:rsidRPr="0071497E">
        <w:rPr>
          <w:b/>
          <w:bCs/>
        </w:rPr>
        <w:t>Salary Distribution</w:t>
      </w:r>
      <w:r w:rsidRPr="0071497E">
        <w:t>: Analyzing the salary ranges reveals where the company spends the most on its employees, indicating its investment in talent for particular roles or departments.</w:t>
      </w:r>
    </w:p>
    <w:p w14:paraId="70662D84" w14:textId="77777777" w:rsidR="0071497E" w:rsidRPr="0071497E" w:rsidRDefault="0071497E" w:rsidP="0071497E">
      <w:pPr>
        <w:numPr>
          <w:ilvl w:val="0"/>
          <w:numId w:val="17"/>
        </w:numPr>
      </w:pPr>
      <w:r w:rsidRPr="0071497E">
        <w:rPr>
          <w:b/>
          <w:bCs/>
        </w:rPr>
        <w:t>Efficiency</w:t>
      </w:r>
      <w:r w:rsidRPr="0071497E">
        <w:t xml:space="preserve">: By examining </w:t>
      </w:r>
      <w:r w:rsidRPr="0071497E">
        <w:rPr>
          <w:b/>
          <w:bCs/>
        </w:rPr>
        <w:t>interview metrics</w:t>
      </w:r>
      <w:r w:rsidRPr="0071497E">
        <w:t xml:space="preserve">, we can identify departments with high </w:t>
      </w:r>
      <w:r w:rsidRPr="0071497E">
        <w:rPr>
          <w:b/>
          <w:bCs/>
        </w:rPr>
        <w:t>interview-to-hire ratios</w:t>
      </w:r>
      <w:r w:rsidRPr="0071497E">
        <w:t>, signaling areas for improvement in the recruitment process or increased hiring efficiency.</w:t>
      </w:r>
    </w:p>
    <w:p w14:paraId="1AED0FED" w14:textId="77777777" w:rsidR="0071497E" w:rsidRPr="0071497E" w:rsidRDefault="0071497E" w:rsidP="0071497E">
      <w:pPr>
        <w:numPr>
          <w:ilvl w:val="0"/>
          <w:numId w:val="17"/>
        </w:numPr>
      </w:pPr>
      <w:r w:rsidRPr="0071497E">
        <w:rPr>
          <w:b/>
          <w:bCs/>
        </w:rPr>
        <w:t>Strategic Hiring</w:t>
      </w:r>
      <w:r w:rsidRPr="0071497E">
        <w:t>: The analysis of trends and positions can help the company focus on its hiring strategy, especially if certain departments show a lack of growth or hiring activity, indicating a need for more targeted recruitment.</w:t>
      </w:r>
    </w:p>
    <w:p w14:paraId="22B1BD01" w14:textId="77777777" w:rsidR="001E4CD2" w:rsidRDefault="001E4CD2"/>
    <w:sectPr w:rsidR="001E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E2436"/>
    <w:multiLevelType w:val="multilevel"/>
    <w:tmpl w:val="D02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E0AD8"/>
    <w:multiLevelType w:val="multilevel"/>
    <w:tmpl w:val="4E7C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711A1"/>
    <w:multiLevelType w:val="multilevel"/>
    <w:tmpl w:val="E41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F49E8"/>
    <w:multiLevelType w:val="multilevel"/>
    <w:tmpl w:val="397E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266C0"/>
    <w:multiLevelType w:val="multilevel"/>
    <w:tmpl w:val="3F72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40281"/>
    <w:multiLevelType w:val="multilevel"/>
    <w:tmpl w:val="82C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B1E6C"/>
    <w:multiLevelType w:val="multilevel"/>
    <w:tmpl w:val="8D74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51472"/>
    <w:multiLevelType w:val="multilevel"/>
    <w:tmpl w:val="2FD8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24CA0"/>
    <w:multiLevelType w:val="multilevel"/>
    <w:tmpl w:val="DB7A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27B41"/>
    <w:multiLevelType w:val="multilevel"/>
    <w:tmpl w:val="97D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60755"/>
    <w:multiLevelType w:val="multilevel"/>
    <w:tmpl w:val="D8A8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B0F61"/>
    <w:multiLevelType w:val="multilevel"/>
    <w:tmpl w:val="3BC6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A3222"/>
    <w:multiLevelType w:val="multilevel"/>
    <w:tmpl w:val="F14C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014DC"/>
    <w:multiLevelType w:val="multilevel"/>
    <w:tmpl w:val="C9A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76319"/>
    <w:multiLevelType w:val="multilevel"/>
    <w:tmpl w:val="0B16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464F4"/>
    <w:multiLevelType w:val="multilevel"/>
    <w:tmpl w:val="6060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F0CA2"/>
    <w:multiLevelType w:val="multilevel"/>
    <w:tmpl w:val="A6DC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060442">
    <w:abstractNumId w:val="4"/>
  </w:num>
  <w:num w:numId="2" w16cid:durableId="2002347044">
    <w:abstractNumId w:val="11"/>
  </w:num>
  <w:num w:numId="3" w16cid:durableId="1827745299">
    <w:abstractNumId w:val="16"/>
  </w:num>
  <w:num w:numId="4" w16cid:durableId="1715545774">
    <w:abstractNumId w:val="9"/>
  </w:num>
  <w:num w:numId="5" w16cid:durableId="1556430637">
    <w:abstractNumId w:val="0"/>
  </w:num>
  <w:num w:numId="6" w16cid:durableId="1266887121">
    <w:abstractNumId w:val="14"/>
  </w:num>
  <w:num w:numId="7" w16cid:durableId="230384945">
    <w:abstractNumId w:val="12"/>
  </w:num>
  <w:num w:numId="8" w16cid:durableId="719668667">
    <w:abstractNumId w:val="5"/>
  </w:num>
  <w:num w:numId="9" w16cid:durableId="1038822369">
    <w:abstractNumId w:val="7"/>
  </w:num>
  <w:num w:numId="10" w16cid:durableId="85930033">
    <w:abstractNumId w:val="1"/>
  </w:num>
  <w:num w:numId="11" w16cid:durableId="2021463026">
    <w:abstractNumId w:val="13"/>
  </w:num>
  <w:num w:numId="12" w16cid:durableId="355008555">
    <w:abstractNumId w:val="8"/>
  </w:num>
  <w:num w:numId="13" w16cid:durableId="401102626">
    <w:abstractNumId w:val="2"/>
  </w:num>
  <w:num w:numId="14" w16cid:durableId="958609405">
    <w:abstractNumId w:val="15"/>
  </w:num>
  <w:num w:numId="15" w16cid:durableId="64961405">
    <w:abstractNumId w:val="3"/>
  </w:num>
  <w:num w:numId="16" w16cid:durableId="292517604">
    <w:abstractNumId w:val="10"/>
  </w:num>
  <w:num w:numId="17" w16cid:durableId="1692611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7E"/>
    <w:rsid w:val="001E4CD2"/>
    <w:rsid w:val="0061576E"/>
    <w:rsid w:val="006D4A77"/>
    <w:rsid w:val="0071497E"/>
    <w:rsid w:val="00BA348F"/>
    <w:rsid w:val="00B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18C5"/>
  <w15:chartTrackingRefBased/>
  <w15:docId w15:val="{0ABE7471-49B3-45BE-B9EB-A57D4869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Hiring-process-analsis-dataset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Hiring-process-analsis-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Hiring-process-analsis-data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Hiring-process-analsis-datas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Hiring-process-analsis-datas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Hiring-process-analsis-datas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Hiring-process-analsis-datas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[Hiring-process-analsis-dataset.xlsx]Sheet3!PivotTable1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accent6">
                    <a:lumMod val="75000"/>
                  </a:schemeClr>
                </a:solidFill>
              </a:rPr>
              <a:t>Count of Male</a:t>
            </a:r>
            <a:r>
              <a:rPr lang="en-US" b="1" baseline="0">
                <a:solidFill>
                  <a:schemeClr val="accent6">
                    <a:lumMod val="75000"/>
                  </a:schemeClr>
                </a:solidFill>
              </a:rPr>
              <a:t> And Female Get Hired  </a:t>
            </a:r>
            <a:endParaRPr lang="en-US" b="1">
              <a:solidFill>
                <a:schemeClr val="accent6">
                  <a:lumMod val="75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3.3333442694663165E-2"/>
              <c:y val="-6.018536745406828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8.8944444444444437E-2"/>
                  <c:h val="6.1782589676290453E-2"/>
                </c:manualLayout>
              </c15:layout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1.6666666666666614E-2"/>
              <c:y val="-6.944444444444444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1.6666666666666614E-2"/>
              <c:y val="-6.944444444444444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3.3333442694663165E-2"/>
              <c:y val="-6.018536745406828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8.8944444444444437E-2"/>
                  <c:h val="6.1782589676290453E-2"/>
                </c:manualLayout>
              </c15:layout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1.6666666666666614E-2"/>
              <c:y val="-6.944444444444444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5.8255606256493661E-2"/>
              <c:y val="-5.79255434702018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  <c15:layout>
                <c:manualLayout>
                  <c:w val="0.13878877156810543"/>
                  <c:h val="6.6302237644023307E-2"/>
                </c:manualLayout>
              </c15:layout>
            </c:ext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1.6666666666666614E-2"/>
              <c:y val="-6.944444444444444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dLbl>
          <c:idx val="0"/>
          <c:layout>
            <c:manualLayout>
              <c:x val="5.8255606256493661E-2"/>
              <c:y val="-5.79255434702018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  <c15:layout>
                <c:manualLayout>
                  <c:w val="0.13878877156810543"/>
                  <c:h val="6.6302237644023307E-2"/>
                </c:manualLayout>
              </c15:layout>
            </c:ext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3"/>
        <c:dLbl>
          <c:idx val="0"/>
          <c:layout>
            <c:manualLayout>
              <c:x val="1.6666666666666614E-2"/>
              <c:y val="-6.944444444444444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4"/>
        <c:dLbl>
          <c:idx val="0"/>
          <c:layout>
            <c:manualLayout>
              <c:x val="5.8255606256493661E-2"/>
              <c:y val="-5.79255434702018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  <c15:layout>
                <c:manualLayout>
                  <c:w val="0.13878877156810543"/>
                  <c:h val="6.6302237644023307E-2"/>
                </c:manualLayout>
              </c15:layout>
            </c:ext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963039374343423"/>
          <c:y val="0.44600389863547757"/>
          <c:w val="0.6414732966936646"/>
          <c:h val="0.42159844054580897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E9B7-490E-BE30-55A0B647D129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E9B7-490E-BE30-55A0B647D129}"/>
              </c:ext>
            </c:extLst>
          </c:dPt>
          <c:dLbls>
            <c:dLbl>
              <c:idx val="0"/>
              <c:layout>
                <c:manualLayout>
                  <c:x val="1.6666666666666614E-2"/>
                  <c:y val="-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9B7-490E-BE30-55A0B647D129}"/>
                </c:ext>
              </c:extLst>
            </c:dLbl>
            <c:dLbl>
              <c:idx val="1"/>
              <c:layout>
                <c:manualLayout>
                  <c:x val="5.8255606256493661E-2"/>
                  <c:y val="-5.79255434702018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878877156810543"/>
                      <c:h val="6.630223764402330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E9B7-490E-BE30-55A0B647D12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no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Sheet3!$A$4:$A$6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Sheet3!$B$4:$B$6</c:f>
              <c:numCache>
                <c:formatCode>General</c:formatCode>
                <c:ptCount val="2"/>
                <c:pt idx="0">
                  <c:v>1856</c:v>
                </c:pt>
                <c:pt idx="1">
                  <c:v>2563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B7-490E-BE30-55A0B647D1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25935983"/>
        <c:axId val="2125937423"/>
        <c:axId val="0"/>
      </c:bar3DChart>
      <c:catAx>
        <c:axId val="212593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5937423"/>
        <c:crosses val="autoZero"/>
        <c:auto val="1"/>
        <c:lblAlgn val="ctr"/>
        <c:lblOffset val="100"/>
        <c:noMultiLvlLbl val="0"/>
      </c:catAx>
      <c:valAx>
        <c:axId val="2125937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5935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[Hiring-process-analsis-dataset.xlsx]Sheet7!PivotTable11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Salary Distribution</a:t>
            </a:r>
          </a:p>
        </c:rich>
      </c:tx>
      <c:layout>
        <c:manualLayout>
          <c:xMode val="edge"/>
          <c:yMode val="edge"/>
          <c:x val="0.33169705678918121"/>
          <c:y val="1.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Sheet7!$B$3</c:f>
              <c:strCache>
                <c:ptCount val="1"/>
                <c:pt idx="0">
                  <c:v>Total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Sheet7!$A$4:$A$16</c:f>
              <c:strCache>
                <c:ptCount val="12"/>
                <c:pt idx="0">
                  <c:v>0-9999</c:v>
                </c:pt>
                <c:pt idx="1">
                  <c:v>10000-19999</c:v>
                </c:pt>
                <c:pt idx="2">
                  <c:v>20000-29999</c:v>
                </c:pt>
                <c:pt idx="3">
                  <c:v>30000-39999</c:v>
                </c:pt>
                <c:pt idx="4">
                  <c:v>40000-49999</c:v>
                </c:pt>
                <c:pt idx="5">
                  <c:v>50000-59999</c:v>
                </c:pt>
                <c:pt idx="6">
                  <c:v>60000-69999</c:v>
                </c:pt>
                <c:pt idx="7">
                  <c:v>70000-79999</c:v>
                </c:pt>
                <c:pt idx="8">
                  <c:v>80000-89999</c:v>
                </c:pt>
                <c:pt idx="9">
                  <c:v>90000-99999</c:v>
                </c:pt>
                <c:pt idx="10">
                  <c:v>Above 100000</c:v>
                </c:pt>
                <c:pt idx="11">
                  <c:v>(blank)</c:v>
                </c:pt>
              </c:strCache>
            </c:strRef>
          </c:cat>
          <c:val>
            <c:numRef>
              <c:f>Sheet7!$B$4:$B$16</c:f>
              <c:numCache>
                <c:formatCode>General</c:formatCode>
                <c:ptCount val="12"/>
                <c:pt idx="0">
                  <c:v>679</c:v>
                </c:pt>
                <c:pt idx="1">
                  <c:v>732</c:v>
                </c:pt>
                <c:pt idx="2">
                  <c:v>711</c:v>
                </c:pt>
                <c:pt idx="3">
                  <c:v>710</c:v>
                </c:pt>
                <c:pt idx="4">
                  <c:v>781</c:v>
                </c:pt>
                <c:pt idx="5">
                  <c:v>750</c:v>
                </c:pt>
                <c:pt idx="6">
                  <c:v>698</c:v>
                </c:pt>
                <c:pt idx="7">
                  <c:v>734</c:v>
                </c:pt>
                <c:pt idx="8">
                  <c:v>711</c:v>
                </c:pt>
                <c:pt idx="9">
                  <c:v>659</c:v>
                </c:pt>
                <c:pt idx="10">
                  <c:v>3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D6-496F-94CA-0E0C7E4E12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-50"/>
        <c:axId val="449699615"/>
        <c:axId val="449703935"/>
      </c:barChart>
      <c:catAx>
        <c:axId val="44969961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703935"/>
        <c:crosses val="autoZero"/>
        <c:auto val="1"/>
        <c:lblAlgn val="ctr"/>
        <c:lblOffset val="100"/>
        <c:noMultiLvlLbl val="0"/>
      </c:catAx>
      <c:valAx>
        <c:axId val="44970393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699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pivotSource>
    <c:name>[Hiring-process-analsis-dataset.xlsx]Sheet10!PivotTable14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4">
                    <a:lumMod val="50000"/>
                  </a:schemeClr>
                </a:solidFill>
              </a:rPr>
              <a:t>Distribution of Position Tiers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6.9458223972003505E-2"/>
                  <c:h val="7.1041848935549726E-2"/>
                </c:manualLayout>
              </c15:layout>
            </c:ext>
          </c:extLst>
        </c:dLbl>
      </c:pivotFmt>
      <c:pivotFmt>
        <c:idx val="2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6.9458223972003505E-2"/>
                  <c:h val="7.1041848935549726E-2"/>
                </c:manualLayout>
              </c15:layout>
            </c:ext>
          </c:extLst>
        </c:dLbl>
      </c:pivotFmt>
      <c:pivotFmt>
        <c:idx val="4"/>
        <c:spPr>
          <a:pattFill prst="narHorz">
            <a:fgClr>
              <a:schemeClr val="accent3"/>
            </a:fgClr>
            <a:bgClr>
              <a:schemeClr val="accent3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3"/>
            </a:innerShdw>
          </a:effectLst>
        </c:spPr>
        <c:marker>
          <c:symbol val="circle"/>
          <c:size val="6"/>
          <c:spPr>
            <a:solidFill>
              <a:schemeClr val="accent3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pattFill prst="narHorz">
            <a:fgClr>
              <a:schemeClr val="accent3"/>
            </a:fgClr>
            <a:bgClr>
              <a:schemeClr val="accent3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3"/>
            </a:inn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pattFill prst="narHorz">
            <a:fgClr>
              <a:schemeClr val="accent3"/>
            </a:fgClr>
            <a:bgClr>
              <a:schemeClr val="accent3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3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pattFill prst="narHorz">
            <a:fgClr>
              <a:schemeClr val="accent3"/>
            </a:fgClr>
            <a:bgClr>
              <a:schemeClr val="accent3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3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42244094488189"/>
          <c:y val="0.23055555555555557"/>
          <c:w val="0.87077559055118114"/>
          <c:h val="0.71851851851851856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Sheet10!$B$3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narHorz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dPt>
            <c:idx val="1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7108-4F46-8B20-5FF679A828E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Sheet10!$A$4:$A$18</c:f>
              <c:strCache>
                <c:ptCount val="14"/>
                <c:pt idx="0">
                  <c:v>-</c:v>
                </c:pt>
                <c:pt idx="1">
                  <c:v>b9</c:v>
                </c:pt>
                <c:pt idx="2">
                  <c:v>c-10</c:v>
                </c:pt>
                <c:pt idx="3">
                  <c:v>c5</c:v>
                </c:pt>
                <c:pt idx="4">
                  <c:v>c8</c:v>
                </c:pt>
                <c:pt idx="5">
                  <c:v>c9</c:v>
                </c:pt>
                <c:pt idx="6">
                  <c:v>i1</c:v>
                </c:pt>
                <c:pt idx="7">
                  <c:v>i4</c:v>
                </c:pt>
                <c:pt idx="8">
                  <c:v>i5</c:v>
                </c:pt>
                <c:pt idx="9">
                  <c:v>i6</c:v>
                </c:pt>
                <c:pt idx="10">
                  <c:v>i7</c:v>
                </c:pt>
                <c:pt idx="11">
                  <c:v>m6</c:v>
                </c:pt>
                <c:pt idx="12">
                  <c:v>m7</c:v>
                </c:pt>
                <c:pt idx="13">
                  <c:v>n10</c:v>
                </c:pt>
              </c:strCache>
            </c:strRef>
          </c:cat>
          <c:val>
            <c:numRef>
              <c:f>Sheet10!$B$4:$B$18</c:f>
              <c:numCache>
                <c:formatCode>General</c:formatCode>
                <c:ptCount val="14"/>
                <c:pt idx="0">
                  <c:v>1</c:v>
                </c:pt>
                <c:pt idx="1">
                  <c:v>64</c:v>
                </c:pt>
                <c:pt idx="2">
                  <c:v>97</c:v>
                </c:pt>
                <c:pt idx="3">
                  <c:v>177</c:v>
                </c:pt>
                <c:pt idx="4">
                  <c:v>47</c:v>
                </c:pt>
                <c:pt idx="5">
                  <c:v>130</c:v>
                </c:pt>
                <c:pt idx="6">
                  <c:v>34</c:v>
                </c:pt>
                <c:pt idx="7">
                  <c:v>88</c:v>
                </c:pt>
                <c:pt idx="8">
                  <c:v>128</c:v>
                </c:pt>
                <c:pt idx="9">
                  <c:v>84</c:v>
                </c:pt>
                <c:pt idx="10">
                  <c:v>145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08-4F46-8B20-5FF679A828E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243251887"/>
        <c:axId val="243245647"/>
      </c:barChart>
      <c:catAx>
        <c:axId val="2432518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245647"/>
        <c:crosses val="autoZero"/>
        <c:auto val="1"/>
        <c:lblAlgn val="ctr"/>
        <c:lblOffset val="100"/>
        <c:noMultiLvlLbl val="0"/>
      </c:catAx>
      <c:valAx>
        <c:axId val="243245647"/>
        <c:scaling>
          <c:orientation val="minMax"/>
        </c:scaling>
        <c:delete val="0"/>
        <c:axPos val="b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251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[Hiring-process-analsis-dataset.xlsx]Sheet1!PivotTable1</c:name>
    <c:fmtId val="-1"/>
  </c:pivotSource>
  <c:chart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2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21738888888888888"/>
          <c:y val="4.4176706827309238E-2"/>
          <c:w val="0.59074256342957132"/>
          <c:h val="0.86755020080321288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Hired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Sheet1!$A$5:$A$12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Sheet1!$B$5:$B$12</c:f>
              <c:numCache>
                <c:formatCode>General</c:formatCode>
                <c:ptCount val="7"/>
                <c:pt idx="0">
                  <c:v>675</c:v>
                </c:pt>
                <c:pt idx="1">
                  <c:v>653</c:v>
                </c:pt>
                <c:pt idx="2">
                  <c:v>684</c:v>
                </c:pt>
                <c:pt idx="3">
                  <c:v>645</c:v>
                </c:pt>
                <c:pt idx="4">
                  <c:v>699</c:v>
                </c:pt>
                <c:pt idx="5">
                  <c:v>674</c:v>
                </c:pt>
                <c:pt idx="6">
                  <c:v>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95-4A36-AFE6-32ABC71F8F7B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Rejected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strRef>
              <c:f>Sheet1!$A$5:$A$12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Sheet1!$C$5:$C$12</c:f>
              <c:numCache>
                <c:formatCode>General</c:formatCode>
                <c:ptCount val="7"/>
                <c:pt idx="0">
                  <c:v>359</c:v>
                </c:pt>
                <c:pt idx="1">
                  <c:v>318</c:v>
                </c:pt>
                <c:pt idx="2">
                  <c:v>361</c:v>
                </c:pt>
                <c:pt idx="3">
                  <c:v>351</c:v>
                </c:pt>
                <c:pt idx="4">
                  <c:v>365</c:v>
                </c:pt>
                <c:pt idx="5">
                  <c:v>340</c:v>
                </c:pt>
                <c:pt idx="6">
                  <c:v>377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95-4A36-AFE6-32ABC71F8F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2094952527"/>
        <c:axId val="2094948687"/>
        <c:axId val="0"/>
      </c:bar3DChart>
      <c:catAx>
        <c:axId val="209495252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4948687"/>
        <c:crosses val="autoZero"/>
        <c:auto val="1"/>
        <c:lblAlgn val="ctr"/>
        <c:lblOffset val="100"/>
        <c:noMultiLvlLbl val="0"/>
      </c:catAx>
      <c:valAx>
        <c:axId val="2094948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4952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5993000874890642E-2"/>
          <c:y val="0.15787037037037038"/>
          <c:w val="0.84717366579177611"/>
          <c:h val="0.7403703703703703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Sheet2!$C$3</c:f>
              <c:strCache>
                <c:ptCount val="1"/>
                <c:pt idx="0">
                  <c:v>Average Interviews per Department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Sheet2!$C$4:$C$12</c:f>
              <c:numCache>
                <c:formatCode>0.00%</c:formatCode>
                <c:ptCount val="9"/>
                <c:pt idx="0">
                  <c:v>4.6699999999999998E-2</c:v>
                </c:pt>
                <c:pt idx="1">
                  <c:v>2.7900000000000001E-2</c:v>
                </c:pt>
                <c:pt idx="2">
                  <c:v>1.5699999999999999E-2</c:v>
                </c:pt>
                <c:pt idx="3">
                  <c:v>5.2699999999999997E-2</c:v>
                </c:pt>
                <c:pt idx="4">
                  <c:v>0.44990000000000002</c:v>
                </c:pt>
                <c:pt idx="5">
                  <c:v>6.1699999999999998E-2</c:v>
                </c:pt>
                <c:pt idx="6">
                  <c:v>5.3999999999999999E-2</c:v>
                </c:pt>
                <c:pt idx="7">
                  <c:v>0.1212</c:v>
                </c:pt>
                <c:pt idx="8">
                  <c:v>0.33329999999999999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98-47AC-B9B1-449BA6B8D6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2113291792"/>
        <c:axId val="2113286992"/>
      </c:barChart>
      <c:catAx>
        <c:axId val="21132917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3286992"/>
        <c:crosses val="autoZero"/>
        <c:auto val="1"/>
        <c:lblAlgn val="ctr"/>
        <c:lblOffset val="100"/>
        <c:noMultiLvlLbl val="0"/>
      </c:catAx>
      <c:valAx>
        <c:axId val="211328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329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[Hiring-process-analsis-dataset.xlsx]Sheet12!PivotTable8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Sheet12!$B$3:$B$4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Sheet12!$A$5:$A$14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Sheet12!$B$5:$B$14</c:f>
              <c:numCache>
                <c:formatCode>General</c:formatCode>
                <c:ptCount val="9"/>
                <c:pt idx="0">
                  <c:v>73</c:v>
                </c:pt>
                <c:pt idx="1">
                  <c:v>67</c:v>
                </c:pt>
                <c:pt idx="2">
                  <c:v>12</c:v>
                </c:pt>
                <c:pt idx="3">
                  <c:v>67</c:v>
                </c:pt>
                <c:pt idx="4">
                  <c:v>682</c:v>
                </c:pt>
                <c:pt idx="5">
                  <c:v>80</c:v>
                </c:pt>
                <c:pt idx="6">
                  <c:v>76</c:v>
                </c:pt>
                <c:pt idx="7">
                  <c:v>148</c:v>
                </c:pt>
                <c:pt idx="8">
                  <c:v>541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DE-40CE-9168-01507579BF11}"/>
            </c:ext>
          </c:extLst>
        </c:ser>
        <c:ser>
          <c:idx val="1"/>
          <c:order val="1"/>
          <c:tx>
            <c:strRef>
              <c:f>Sheet12!$C$3:$C$4</c:f>
              <c:strCache>
                <c:ptCount val="1"/>
                <c:pt idx="0">
                  <c:v>June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Sheet12!$A$5:$A$14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Sheet12!$C$5:$C$14</c:f>
              <c:numCache>
                <c:formatCode>General</c:formatCode>
                <c:ptCount val="9"/>
                <c:pt idx="0">
                  <c:v>59</c:v>
                </c:pt>
                <c:pt idx="1">
                  <c:v>39</c:v>
                </c:pt>
                <c:pt idx="2">
                  <c:v>25</c:v>
                </c:pt>
                <c:pt idx="3">
                  <c:v>87</c:v>
                </c:pt>
                <c:pt idx="4">
                  <c:v>689</c:v>
                </c:pt>
                <c:pt idx="5">
                  <c:v>82</c:v>
                </c:pt>
                <c:pt idx="6">
                  <c:v>78</c:v>
                </c:pt>
                <c:pt idx="7">
                  <c:v>144</c:v>
                </c:pt>
                <c:pt idx="8">
                  <c:v>437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DE-40CE-9168-01507579BF11}"/>
            </c:ext>
          </c:extLst>
        </c:ser>
        <c:ser>
          <c:idx val="2"/>
          <c:order val="2"/>
          <c:tx>
            <c:strRef>
              <c:f>Sheet12!$D$3:$D$4</c:f>
              <c:strCache>
                <c:ptCount val="1"/>
                <c:pt idx="0">
                  <c:v>July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Sheet12!$A$5:$A$14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Sheet12!$D$5:$D$14</c:f>
              <c:numCache>
                <c:formatCode>General</c:formatCode>
                <c:ptCount val="9"/>
                <c:pt idx="0">
                  <c:v>100</c:v>
                </c:pt>
                <c:pt idx="1">
                  <c:v>45</c:v>
                </c:pt>
                <c:pt idx="2">
                  <c:v>20</c:v>
                </c:pt>
                <c:pt idx="3">
                  <c:v>81</c:v>
                </c:pt>
                <c:pt idx="4">
                  <c:v>740</c:v>
                </c:pt>
                <c:pt idx="5">
                  <c:v>119</c:v>
                </c:pt>
                <c:pt idx="6">
                  <c:v>104</c:v>
                </c:pt>
                <c:pt idx="7">
                  <c:v>210</c:v>
                </c:pt>
                <c:pt idx="8">
                  <c:v>527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DE-40CE-9168-01507579BF11}"/>
            </c:ext>
          </c:extLst>
        </c:ser>
        <c:ser>
          <c:idx val="3"/>
          <c:order val="3"/>
          <c:tx>
            <c:strRef>
              <c:f>Sheet12!$E$3:$E$4</c:f>
              <c:strCache>
                <c:ptCount val="1"/>
                <c:pt idx="0">
                  <c:v>August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Sheet12!$A$5:$A$14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Sheet12!$E$5:$E$14</c:f>
              <c:numCache>
                <c:formatCode>General</c:formatCode>
                <c:ptCount val="9"/>
                <c:pt idx="0">
                  <c:v>56</c:v>
                </c:pt>
                <c:pt idx="1">
                  <c:v>21</c:v>
                </c:pt>
                <c:pt idx="2">
                  <c:v>40</c:v>
                </c:pt>
                <c:pt idx="3">
                  <c:v>90</c:v>
                </c:pt>
                <c:pt idx="4">
                  <c:v>660</c:v>
                </c:pt>
                <c:pt idx="5">
                  <c:v>99</c:v>
                </c:pt>
                <c:pt idx="6">
                  <c:v>75</c:v>
                </c:pt>
                <c:pt idx="7">
                  <c:v>245</c:v>
                </c:pt>
                <c:pt idx="8">
                  <c:v>550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DE-40CE-9168-01507579B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91513552"/>
        <c:axId val="2091507792"/>
      </c:barChart>
      <c:catAx>
        <c:axId val="20915135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1507792"/>
        <c:crosses val="autoZero"/>
        <c:auto val="1"/>
        <c:lblAlgn val="ctr"/>
        <c:lblOffset val="100"/>
        <c:noMultiLvlLbl val="0"/>
      </c:catAx>
      <c:valAx>
        <c:axId val="209150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1513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[Hiring-process-analsis-dataset.xlsx]Sheet13!PivotTable9</c:name>
    <c:fmtId val="-1"/>
  </c:pivotSource>
  <c:chart>
    <c:autoTitleDeleted val="0"/>
    <c:pivotFmts>
      <c:pivotFmt>
        <c:idx val="0"/>
        <c:spPr>
          <a:gradFill flip="none" rotWithShape="1">
            <a:gsLst>
              <a:gs pos="100000">
                <a:schemeClr val="accent2">
                  <a:alpha val="0"/>
                </a:schemeClr>
              </a:gs>
              <a:gs pos="50000">
                <a:schemeClr val="accent2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circle"/>
          <c:size val="6"/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flip="none" rotWithShape="1">
            <a:gsLst>
              <a:gs pos="100000">
                <a:schemeClr val="accent2">
                  <a:alpha val="0"/>
                </a:schemeClr>
              </a:gs>
              <a:gs pos="50000">
                <a:schemeClr val="accent2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circle"/>
          <c:size val="6"/>
          <c:spPr>
            <a:gradFill flip="none" rotWithShape="1">
              <a:gsLst>
                <a:gs pos="0">
                  <a:schemeClr val="accent4"/>
                </a:gs>
                <a:gs pos="75000">
                  <a:schemeClr val="accent4">
                    <a:lumMod val="60000"/>
                    <a:lumOff val="40000"/>
                  </a:schemeClr>
                </a:gs>
                <a:gs pos="51000">
                  <a:schemeClr val="accent4">
                    <a:alpha val="75000"/>
                  </a:schemeClr>
                </a:gs>
                <a:gs pos="100000">
                  <a:schemeClr val="accent4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flip="none" rotWithShape="1">
            <a:gsLst>
              <a:gs pos="100000">
                <a:schemeClr val="accent2">
                  <a:alpha val="0"/>
                </a:schemeClr>
              </a:gs>
              <a:gs pos="50000">
                <a:schemeClr val="accent2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flip="none" rotWithShape="1">
            <a:gsLst>
              <a:gs pos="100000">
                <a:schemeClr val="accent2">
                  <a:alpha val="0"/>
                </a:schemeClr>
              </a:gs>
              <a:gs pos="50000">
                <a:schemeClr val="accent2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flip="none" rotWithShape="1">
            <a:gsLst>
              <a:gs pos="100000">
                <a:schemeClr val="accent2">
                  <a:alpha val="0"/>
                </a:schemeClr>
              </a:gs>
              <a:gs pos="50000">
                <a:schemeClr val="accent2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flip="none" rotWithShape="1">
            <a:gsLst>
              <a:gs pos="100000">
                <a:schemeClr val="accent2">
                  <a:alpha val="0"/>
                </a:schemeClr>
              </a:gs>
              <a:gs pos="50000">
                <a:schemeClr val="accent2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flip="none" rotWithShape="1">
            <a:gsLst>
              <a:gs pos="100000">
                <a:schemeClr val="accent2">
                  <a:alpha val="0"/>
                </a:schemeClr>
              </a:gs>
              <a:gs pos="50000">
                <a:schemeClr val="accent2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flip="none" rotWithShape="1">
            <a:gsLst>
              <a:gs pos="100000">
                <a:schemeClr val="accent2">
                  <a:alpha val="0"/>
                </a:schemeClr>
              </a:gs>
              <a:gs pos="50000">
                <a:schemeClr val="accent2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flip="none" rotWithShape="1">
            <a:gsLst>
              <a:gs pos="100000">
                <a:schemeClr val="accent2">
                  <a:alpha val="0"/>
                </a:schemeClr>
              </a:gs>
              <a:gs pos="50000">
                <a:schemeClr val="accent2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flip="none" rotWithShape="1">
            <a:gsLst>
              <a:gs pos="100000">
                <a:schemeClr val="accent2">
                  <a:alpha val="0"/>
                </a:schemeClr>
              </a:gs>
              <a:gs pos="50000">
                <a:schemeClr val="accent2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Sheet13!$B$3:$B$4</c:f>
              <c:strCache>
                <c:ptCount val="1"/>
                <c:pt idx="0">
                  <c:v>Hired</c:v>
                </c:pt>
              </c:strCache>
            </c:strRef>
          </c:tx>
          <c:spPr>
            <a:gradFill>
              <a:gsLst>
                <a:gs pos="100000">
                  <a:schemeClr val="accent2">
                    <a:alpha val="0"/>
                  </a:schemeClr>
                </a:gs>
                <a:gs pos="50000">
                  <a:schemeClr val="accent2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Sheet13!$A$5:$A$9</c:f>
              <c:strCache>
                <c:ptCount val="4"/>
                <c:pt idx="0">
                  <c:v>May</c:v>
                </c:pt>
                <c:pt idx="1">
                  <c:v>June</c:v>
                </c:pt>
                <c:pt idx="2">
                  <c:v>July</c:v>
                </c:pt>
                <c:pt idx="3">
                  <c:v>August</c:v>
                </c:pt>
              </c:strCache>
            </c:strRef>
          </c:cat>
          <c:val>
            <c:numRef>
              <c:f>Sheet13!$B$5:$B$9</c:f>
              <c:numCache>
                <c:formatCode>General</c:formatCode>
                <c:ptCount val="4"/>
                <c:pt idx="0">
                  <c:v>1095</c:v>
                </c:pt>
                <c:pt idx="1">
                  <c:v>1079</c:v>
                </c:pt>
                <c:pt idx="2">
                  <c:v>1296</c:v>
                </c:pt>
                <c:pt idx="3">
                  <c:v>1227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B2-4D78-A90F-F2F86ADEE41C}"/>
            </c:ext>
          </c:extLst>
        </c:ser>
        <c:ser>
          <c:idx val="1"/>
          <c:order val="1"/>
          <c:tx>
            <c:strRef>
              <c:f>Sheet13!$C$3:$C$4</c:f>
              <c:strCache>
                <c:ptCount val="1"/>
                <c:pt idx="0">
                  <c:v>Rejected</c:v>
                </c:pt>
              </c:strCache>
            </c:strRef>
          </c:tx>
          <c:spPr>
            <a:gradFill>
              <a:gsLst>
                <a:gs pos="100000">
                  <a:schemeClr val="accent4">
                    <a:alpha val="0"/>
                  </a:schemeClr>
                </a:gs>
                <a:gs pos="50000">
                  <a:schemeClr val="accent4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Sheet13!$A$5:$A$9</c:f>
              <c:strCache>
                <c:ptCount val="4"/>
                <c:pt idx="0">
                  <c:v>May</c:v>
                </c:pt>
                <c:pt idx="1">
                  <c:v>June</c:v>
                </c:pt>
                <c:pt idx="2">
                  <c:v>July</c:v>
                </c:pt>
                <c:pt idx="3">
                  <c:v>August</c:v>
                </c:pt>
              </c:strCache>
            </c:strRef>
          </c:cat>
          <c:val>
            <c:numRef>
              <c:f>Sheet13!$C$5:$C$9</c:f>
              <c:numCache>
                <c:formatCode>General</c:formatCode>
                <c:ptCount val="4"/>
                <c:pt idx="0">
                  <c:v>651</c:v>
                </c:pt>
                <c:pt idx="1">
                  <c:v>561</c:v>
                </c:pt>
                <c:pt idx="2">
                  <c:v>650</c:v>
                </c:pt>
                <c:pt idx="3">
                  <c:v>609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B2-4D78-A90F-F2F86ADEE4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923911616"/>
        <c:axId val="1923912096"/>
        <c:axId val="0"/>
      </c:bar3DChart>
      <c:catAx>
        <c:axId val="1923911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3912096"/>
        <c:crosses val="autoZero"/>
        <c:auto val="1"/>
        <c:lblAlgn val="ctr"/>
        <c:lblOffset val="100"/>
        <c:noMultiLvlLbl val="0"/>
      </c:catAx>
      <c:valAx>
        <c:axId val="19239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3911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9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dk1">
                <a:lumMod val="65000"/>
                <a:lumOff val="35000"/>
              </a:schemeClr>
            </a:gs>
            <a:gs pos="100000">
              <a:schemeClr val="dk1">
                <a:lumMod val="75000"/>
                <a:lumOff val="25000"/>
              </a:schemeClr>
            </a:gs>
          </a:gsLst>
          <a:lin ang="10800000" scaled="0"/>
        </a:gradFill>
        <a:round/>
      </a:ln>
      <a:effectLst/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alpha val="0"/>
            </a:schemeClr>
          </a:gs>
          <a:gs pos="50000">
            <a:schemeClr val="phClr"/>
          </a:gs>
        </a:gsLst>
        <a:lin ang="5400000" scaled="0"/>
      </a:gradFill>
      <a:sp3d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2024-11-23T06:26:00Z</dcterms:created>
  <dcterms:modified xsi:type="dcterms:W3CDTF">2024-11-23T06:26:00Z</dcterms:modified>
</cp:coreProperties>
</file>