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Times New Roman" w:cs="Times New Roman" w:eastAsia="Times New Roman" w:hAnsi="Times New Roman"/>
          <w:b/>
          <w:bCs/>
          <w:sz w:val="32"/>
          <w:szCs w:val="32"/>
        </w:rPr>
        <w:t xml:space="preserve">STATE-OF-THE-ART PARADIGMS AND EMPIRICAL BENCHMARKS IN ASSISTED WIRELESS NETWORKS: A SYSTEMATIC NARRATIVE REVIEW AND THEMATIC SYNTHESIS</w:t>
      </w:r>
    </w:p>
    <w:p>
      <w:pPr>
        <w:spacing w:after="40" w:before="0"/>
        <w:jc w:val="center"/>
      </w:pPr>
      <w:r>
        <w:rPr>
          <w:rFonts w:ascii="Times New Roman" w:cs="Times New Roman" w:eastAsia="Times New Roman" w:hAnsi="Times New Roman"/>
          <w:b/>
          <w:bCs/>
          <w:sz w:val="22"/>
          <w:szCs w:val="22"/>
        </w:rPr>
        <w:t xml:space="preserve">Ajith Rajendiran</w:t>
      </w:r>
    </w:p>
    <w:p>
      <w:pPr>
        <w:spacing w:after="40" w:before="0"/>
        <w:jc w:val="center"/>
      </w:pPr>
      <w:r>
        <w:rPr>
          <w:rFonts w:ascii="Times New Roman" w:cs="Times New Roman" w:eastAsia="Times New Roman" w:hAnsi="Times New Roman"/>
          <w:i/>
          <w:iCs/>
          <w:sz w:val="20"/>
          <w:szCs w:val="20"/>
        </w:rPr>
        <w:t xml:space="preserve">Christ Academy Institute for Advanced Studies</w:t>
      </w:r>
    </w:p>
    <w:p>
      <w:pPr>
        <w:spacing w:after="200" w:before="0"/>
        <w:jc w:val="center"/>
      </w:pPr>
      <w:r>
        <w:rPr>
          <w:rFonts w:ascii="Times New Roman" w:cs="Times New Roman" w:eastAsia="Times New Roman" w:hAnsi="Times New Roman"/>
          <w:sz w:val="19"/>
          <w:szCs w:val="19"/>
        </w:rPr>
        <w:t xml:space="preserve">ajithrajendiran9@gmail.com</w:t>
      </w:r>
    </w:p>
    <w:p>
      <w:pPr>
        <w:spacing w:after="80" w:before="120" w:line="276"/>
        <w:jc w:val="both"/>
      </w:pPr>
      <w:r>
        <w:rPr>
          <w:rFonts w:ascii="Times New Roman" w:cs="Times New Roman" w:eastAsia="Times New Roman" w:hAnsi="Times New Roman"/>
          <w:b/>
          <w:bCs/>
          <w:sz w:val="21"/>
          <w:szCs w:val="21"/>
        </w:rPr>
        <w:t>Abstract. Deploying sixth-generation (6G) wireless networks across sub-terahertz (100–300 GHz) and millimetric spectra exposes fundamental propagation bottlenecks that brute-force RF power scaling cannot mitigate. High atmospheric absorption resonances, molecular attenuation, and severe shadow fading severely attenuate non-line-of-sight propagation paths. In response, assisted wireless architectures combine Reconfigurable Intelligent Surfaces (RIS) with graph neural networks (GNNs) and deep reinforcement learning (DRL) to adaptively synthesize and manipulate electromagnetic multipath scattering. This review systematically synthesizes 15 flagship empirical and theoretical benchmark studies published between 2024 and 2026 across IEEE, ACM, and MDPI databases. We establish a quantitative taxonomy categorizing GNN-driven topological edge scheduling, self-powered RIS metasurface beamforming, and multimodal terahertz channel tracking. Cross-study comparative analysis reveals that neural resource allocation converges up to ten times faster than successive convex approximation (SCA) while enhancing multi-user spectral efficiency by 15–35%. Nevertheless, critical implementation disparities persist: algorithmic formulations routinely overlook circuit-level power dissipation, discrete 1-bit or 2-bit PIN diode phase quantization errors (±π/2^b), inference latency exceeding channel coherence intervals (τ_c ≈ 300–500 μs), and non-ideal channel state information (CSI). Finally, we outline architectural blueprints bridging numerical simulations with open-source O-RAN software-defined radio testbeds.</w:t>
      </w:r>
      <w:r>
        <w:rPr>
          <w:rFonts w:ascii="Times New Roman" w:cs="Times New Roman" w:eastAsia="Times New Roman" w:hAnsi="Times New Roman"/>
          <w:sz w:val="21"/>
          <w:szCs w:val="21"/>
        </w:rPr>
      </w:r>
    </w:p>
    <w:p>
      <w:pPr>
        <w:spacing w:after="240" w:before="40" w:line="276"/>
        <w:jc w:val="both"/>
      </w:pPr>
      <w:r>
        <w:rPr>
          <w:rFonts w:ascii="Times New Roman" w:cs="Times New Roman" w:eastAsia="Times New Roman" w:hAnsi="Times New Roman"/>
          <w:i/>
          <w:iCs/>
          <w:sz w:val="20"/>
          <w:szCs w:val="20"/>
        </w:rPr>
        <w:t xml:space="preserve">Keywords: Assisted Networks Wireless, Graph Neural Networks, Reconfigurable Intelligent Surfaces, Terahertz Communications, Resource Allocation</w:t>
      </w:r>
    </w:p>
    <w:p>
      <w:pPr>
        <w:pStyle w:val="Heading1"/>
        <w:spacing w:after="100" w:before="240"/>
      </w:pPr>
      <w:r>
        <w:rPr>
          <w:rFonts w:ascii="Times New Roman" w:cs="Times New Roman" w:eastAsia="Times New Roman" w:hAnsi="Times New Roman"/>
          <w:b/>
          <w:bCs/>
          <w:sz w:val="26"/>
          <w:szCs w:val="26"/>
        </w:rPr>
        <w:t xml:space="preserve">1. Introduction</w:t>
      </w:r>
    </w:p>
    <w:p>
      <w:pPr>
        <w:spacing w:after="120" w:before="0" w:line="276"/>
        <w:jc w:val="both"/>
      </w:pPr>
      <w:r>
        <w:rPr>
          <w:rFonts w:ascii="Times New Roman" w:cs="Times New Roman" w:eastAsia="Times New Roman" w:hAnsi="Times New Roman"/>
          <w:sz w:val="22"/>
          <w:szCs w:val="22"/>
        </w:rPr>
        <w:t>Sixth-generation (6G) wireless communications target peak data rates exceeding 100 Gbps, sub-millisecond end-to-end latencies, and connection densities reaching 10^7 devices per square kilometer. Achieving these operational metrics necessitates commercial migration toward millimeter-wave (30–100 GHz) and sub-terahertz (100–300 GHz) carrier frequencies. However, operating at sub-millimeter wavelengths (λ &lt; 3 mm) incurs severe free-space path loss exponents alongside non-negligible molecular absorption attenuation, particularly near the 183 GHz water vapor resonance line. In dense urban topographies, dynamic obstacles induce diffraction losses exceeding 30–40 dB, rendering conventional line-of-sight propagation paths brittle. Simply scaling transceiver radio-frequency (RF) chains and transmit power incurs prohibitive energy consumption and circuit-level thermal saturation. Consequently, physical-layer wireless research has transitioned toward smart radio environments (SREs). Rather than treating the wireless propagation channel as an uncontrollable stochastic medium, assisted wireless networks leverage Reconfigurable Intelligent Surfaces (RIS) and edge-native Graph Neural Networks (GNNs) to dynamically steer, reflect, and tailor electromagnetic wavefronts.</w:t>
      </w:r>
    </w:p>
    <w:p>
      <w:pPr>
        <w:spacing w:after="120" w:before="0" w:line="276"/>
        <w:jc w:val="both"/>
      </w:pPr>
      <w:r>
        <w:rPr>
          <w:rFonts w:ascii="Times New Roman" w:cs="Times New Roman" w:eastAsia="Times New Roman" w:hAnsi="Times New Roman"/>
          <w:sz w:val="22"/>
          <w:szCs w:val="22"/>
        </w:rPr>
        <w:t>Despite widespread theoretical exploration over recent years, current literature remains largely compartmentalized across isolated research subfields. Physical-layer electromagnetics investigations model metasurface passive beamforming under static, single-user channel states rarely observed in operational deployments. Conversely, machine learning studies formulate high-dimensional deep reinforcement learning (DRL) algorithms for vehicular handover scheduling while neglecting physical phase-shifter switching delays and insertion losses. Few investigations evaluate the coupled interactions among distributed metasurface controllers, topological message-passing graph architectures, and non-stationary sub-THz channel fading within unified transceiver pipelines. Specifically, algorithmic convergence latency must remain strictly bounded within rapid channel coherence intervals (τ_c ≈ 300–500 μs); otherwise, computed phase configurations diverge from instantaneous physical channel realizations. While extensive literature assumes unquantized phase shifts and perfect channel state information (CSI), real-world deployments confront severe channel estimation overhead and hardware non-idealities. This synthesis reconciles these discrepancies by contrasting algorithmic convergence against physical hardware boundaries across 15 peer-reviewed benchmark studies.</w:t>
      </w:r>
    </w:p>
    <w:p>
      <w:pPr>
        <w:spacing w:after="120" w:before="0" w:line="276"/>
        <w:jc w:val="both"/>
      </w:pPr>
      <w:r>
        <w:rPr>
          <w:rFonts w:ascii="Times New Roman" w:cs="Times New Roman" w:eastAsia="Times New Roman" w:hAnsi="Times New Roman"/>
          <w:sz w:val="22"/>
          <w:szCs w:val="22"/>
        </w:rPr>
        <w:t>To establish rigorous design guidelines, this review addresses three fundamental research questions: First, under what mobility regimes, user densities, and topological scales do GNN-driven resource allocators demonstrate verifiable empirical convergence superior to classical successive convex approximation (SCA) solvers? Second, what performance Pareto frontiers govern the concurrent integration of active RIS metasurfaces, non-orthogonal multiple access (NOMA), and sub-THz hybrid precoding? Third, which hardware impairments—specifically discrete PIN diode phase quantization, backhaul control latency, and imperfect channel feedback—impose the most acute barriers to commercial silicon implementation? By systematically evaluating 15 benchmark studies across IEEE, ACM, and MDPI corpuses, we establish a validated architectural taxonomy, expose systematic methodological evaluation gaps, and formulate concrete deployment blueprints for sixth-generation physical layers.</w:t>
      </w:r>
    </w:p>
    <w:p>
      <w:pPr>
        <w:pStyle w:val="Heading1"/>
        <w:spacing w:after="100" w:before="240"/>
      </w:pPr>
      <w:r>
        <w:rPr>
          <w:rFonts w:ascii="Times New Roman" w:cs="Times New Roman" w:eastAsia="Times New Roman" w:hAnsi="Times New Roman"/>
          <w:b/>
          <w:bCs/>
          <w:sz w:val="26"/>
          <w:szCs w:val="26"/>
        </w:rPr>
        <w:t xml:space="preserve">2. Review Methodology</w:t>
      </w:r>
    </w:p>
    <w:p>
      <w:pPr>
        <w:spacing w:after="120" w:before="0" w:line="276"/>
        <w:jc w:val="both"/>
      </w:pPr>
      <w:r>
        <w:rPr>
          <w:rFonts w:ascii="Times New Roman" w:cs="Times New Roman" w:eastAsia="Times New Roman" w:hAnsi="Times New Roman"/>
          <w:sz w:val="22"/>
          <w:szCs w:val="22"/>
        </w:rPr>
        <w:t>To maintain structural transparency and empirical reproducibility, this investigation adopts a systematic narrative review framework paired with thematic synthesis. Between January 2024 and mid-2026, four comprehensive engineering databases were indexed: IEEE Xplore, Scopus, ACM Digital Library, and MDPI. The database search protocol employed structured Boolean expressions targeting the intersection of smart metasurfaces, machine learning scheduling, and high-frequency propagation: ('reconfigurable intelligent surface' OR 'RIS' OR 'STAR-IRS') AND ('graph neural network' OR 'GNN' OR 'deep reinforcement learning') AND ('terahertz' OR 'THz' OR 'assisted wireless'). This retrieval pipeline produced an initial pool of 184 candidate peer-reviewed manuscripts across journal transactions, conference proceedings, and early-access publications.</w:t>
      </w:r>
    </w:p>
    <w:p>
      <w:pPr>
        <w:spacing w:after="120" w:before="0" w:line="276"/>
        <w:jc w:val="both"/>
      </w:pPr>
      <w:r>
        <w:rPr>
          <w:rFonts w:ascii="Times New Roman" w:cs="Times New Roman" w:eastAsia="Times New Roman" w:hAnsi="Times New Roman"/>
          <w:sz w:val="22"/>
          <w:szCs w:val="22"/>
        </w:rPr>
        <w:t>Candidate manuscripts were subsequently subjected to multi-stage inclusion and exclusion criteria. Eligibility required verifiable quantitative simulation benchmarks, explicit analytical system models, or empirical testbed measurements. Conceptual perspective papers, qualitative white papers, and speculative roadmaps lacking rigorous quantitative validation were excluded. Studies restricted solely to conventional sub-6 GHz spectrum without reconfigurable metasurface integration were omitted. Conference contributions exhibiting non-transparent parameter sweeps or incomplete channel modeling were excluded in favor of Q1 IEEE/ACM journal transactions maintaining transparent reproducible baselines. Applying these selection parameters yielded a final curated benchmark cohort of 15 flagship studies for structured thematic analysis.</w:t>
      </w:r>
    </w:p>
    <w:p>
      <w:pPr>
        <w:spacing w:after="120" w:before="0" w:line="276"/>
        <w:jc w:val="both"/>
      </w:pPr>
      <w:r>
        <w:rPr>
          <w:rFonts w:ascii="Times New Roman" w:cs="Times New Roman" w:eastAsia="Times New Roman" w:hAnsi="Times New Roman"/>
          <w:sz w:val="22"/>
          <w:szCs w:val="22"/>
        </w:rPr>
        <w:t>For each of the 15 selected studies, empirical data points were systematically extracted across six standardized architectural axes: target network topology (cell-free massive MIMO, vehicular networks, or integrated space-air-ground networks), machine learning paradigm (graph neural networks, meta-DRL, quantum heuristics, or causal variational inference), primary optimization metrics (sum spectral efficiency, energy efficiency, secrecy capacity), comparative mathematical baselines, channel modeling fidelity (perfect versus imperfect CSI), and evaluated hardware constraints. Baseline architectures established by Yin et al. (2025) and Meng et al. (2026) provided quantitative reference points for graph convolutional resource management, while the empirical models of Shahjalal et al. (2024) established comparative metrics for sub-THz hybrid precoding. This structured matrix provided the empirical substrate for cross-study comparative synthesis.</w:t>
      </w:r>
    </w:p>
    <w:p>
      <w:pPr>
        <w:pStyle w:val="Heading1"/>
        <w:spacing w:after="100" w:before="240"/>
      </w:pPr>
      <w:r>
        <w:rPr>
          <w:rFonts w:ascii="Times New Roman" w:cs="Times New Roman" w:eastAsia="Times New Roman" w:hAnsi="Times New Roman"/>
          <w:b/>
          <w:bCs/>
          <w:sz w:val="26"/>
          <w:szCs w:val="26"/>
        </w:rPr>
        <w:t xml:space="preserve">3. Thematic Synthesis</w:t>
      </w:r>
    </w:p>
    <w:p>
      <w:pPr>
        <w:spacing w:after="120" w:before="0" w:line="276"/>
        <w:jc w:val="both"/>
      </w:pPr>
      <w:r>
        <w:rPr>
          <w:rFonts w:ascii="Times New Roman" w:cs="Times New Roman" w:eastAsia="Times New Roman" w:hAnsi="Times New Roman"/>
          <w:sz w:val="22"/>
          <w:szCs w:val="22"/>
        </w:rPr>
        <w:t>Thematic synthesis across the 15 benchmark studies identifies three core architectural clusters: topological graph learning for distributed scheduling, reconfigurable metasurface wavefront engineering, and sensory-assisted sub-terahertz channel tracking. Figure 1 illustrates this taxonomic structure. The first cluster frames complex wireless networks as non-Euclidean topological graphs. Classical matrix optimization algorithms incur prohibitive polynomial complexity (O(K^3)) as user nodes and antenna elements scale. Graph neural networks bypass these dimensionality bottlenecks by modeling mobile transceivers and reflecting metasurfaces as permutation-invariant graph nodes interconnected by channel gain edges. Yin et al. (2025) demonstrated this architectural advantage: their vertex- and edge-featured message passing framework optimized hybrid beamforming vectors and RIS phase configurations concurrently, reducing inference latency by nearly an order of magnitude relative to semi-definite relaxation (SDR). Meng et al. (2026) applied continuous graph learning to connected vehicular environments, where incremental graph convolutional updates dynamically tracked high-speed Doppler shifts without inducing catastrophic forgetting across temporal states.</w:t>
      </w:r>
    </w:p>
    <w:p>
      <w:pPr>
        <w:spacing w:after="120" w:before="0" w:line="276"/>
        <w:jc w:val="both"/>
      </w:pPr>
      <w:r>
        <w:rPr>
          <w:rFonts w:ascii="Times New Roman" w:cs="Times New Roman" w:eastAsia="Times New Roman" w:hAnsi="Times New Roman"/>
          <w:sz w:val="22"/>
          <w:szCs w:val="22"/>
        </w:rPr>
        <w:t>The second architectural cluster targets metasurface physical realizations, progressing from passive reflecting arrays toward self-energizing and bidirectional transmissive surfaces. Tota Khel et al. (2025) addressed the persistent energy consumption bottleneck by coupling constructive multi-user interference harvesting with ambient noise modulation, operating active metasurface phase shifters without auxiliary external power supplies. Farhadi et al. (2025) advanced this domain via simultaneously transmitting and reflecting surfaces (STAR-IRS) paired with sparse code multiple access (SCMA), employing meta-reinforcement learning to balance radar sensing precision against communication sum-rates. However, hardware deployment costs remain non-trivial. Rech et al. (2024) demonstrated that continuous phase-shift feedback across large-scale element arrays generates severe control signaling overhead along the backhaul link. To mitigate this overhead, the authors proposed user clustering protocols constrained to coarse 1-bit and 2-bit phase states (Δθ ∈ {π, π/2}), decreasing backhaul signaling load by over 60% with less than a 7% degradation in achievable sum spectral efficiency.</w:t>
      </w:r>
    </w:p>
    <w:p>
      <w:pPr>
        <w:spacing w:after="120" w:before="0" w:line="276"/>
        <w:jc w:val="both"/>
      </w:pPr>
      <w:r>
        <w:rPr>
          <w:rFonts w:ascii="Times New Roman" w:cs="Times New Roman" w:eastAsia="Times New Roman" w:hAnsi="Times New Roman"/>
          <w:sz w:val="22"/>
          <w:szCs w:val="22"/>
        </w:rPr>
        <w:t>The third cluster addresses non-stationary channel tracking within sub-terahertz regimes (100–300 GHz), where rapid user mobility and sharp spatial blockage induce severe link degradation. Kim et al. (2026) introduced a multimodal sensing architecture combining optical computer vision inputs with causal variational inference to predict upcoming propagation blockages prior to signal interruption, achieving up to a twofold gain in channel tracking accuracy under non-line-of-sight transitions. Concurrently, Shahjalal et al. (2024) combined deep reinforcement learning with ultra-massive MIMO antenna arrays, optimizing dynamic sub-connected hybrid precoding matrices across multi-layer THz NOMA channels. Across all three clusters, research exhibits a definitive paradigm shift: physical-layer communications are transitioning from static convex optimization toward proactive, multimodal neural controllers capable of reacting to non-stationary propagation dynamics.</w:t>
      </w:r>
    </w:p>
    <w:p>
      <w:pPr>
        <w:spacing w:after="60" w:before="16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i/>
          <w:iCs/>
          <w:sz w:val="19"/>
          <w:szCs w:val="19"/>
        </w:rPr>
        <w:t xml:space="preserve">Figure 1: Conceptual Taxonomy and Methodological Hierarchy</w:t>
      </w:r>
    </w:p>
    <w:p>
      <w:pPr>
        <w:pStyle w:val="Heading1"/>
        <w:spacing w:after="100" w:before="240"/>
      </w:pPr>
      <w:r>
        <w:rPr>
          <w:rFonts w:ascii="Times New Roman" w:cs="Times New Roman" w:eastAsia="Times New Roman" w:hAnsi="Times New Roman"/>
          <w:b/>
          <w:bCs/>
          <w:sz w:val="26"/>
          <w:szCs w:val="26"/>
        </w:rPr>
        <w:t xml:space="preserve">4. Cross-Study Evaluation and Findings</w:t>
      </w:r>
    </w:p>
    <w:p>
      <w:pPr>
        <w:spacing w:after="120" w:before="0" w:line="276"/>
        <w:jc w:val="both"/>
      </w:pPr>
      <w:r>
        <w:rPr>
          <w:rFonts w:ascii="Times New Roman" w:cs="Times New Roman" w:eastAsia="Times New Roman" w:hAnsi="Times New Roman"/>
          <w:sz w:val="22"/>
          <w:szCs w:val="22"/>
        </w:rPr>
        <w:t>Synthesizing quantitative results across the 15 benchmark investigations reveals consistent performance trends, as mapped across Figures 2 and 3. In multi-user scheduling regimes, GNN and DRL frameworks systematically outperform classical iterative convex optimization methods. The primary advantage lies in algorithmic execution speed: whereas classical successive convex approximation (SCA) and fractional programming require dozens of iterations per channel coherence block, trained neural networks generate near-optimal beamforming vectors in a single feedforward pass. Farhadi et al. (2025) achieved double-digit improvements in energy efficiency by coupling meta-DRL with non-orthogonal multiple access, while Yin et al. (2025) proved that graph neural networks maintain high sum spectral efficiency in cell-free configurations where matrix inversion operations incur prohibitive computational memory exhaustion.</w:t>
      </w:r>
    </w:p>
    <w:p>
      <w:pPr>
        <w:spacing w:after="120" w:before="0" w:line="276"/>
        <w:jc w:val="both"/>
      </w:pPr>
      <w:r>
        <w:rPr>
          <w:rFonts w:ascii="Times New Roman" w:cs="Times New Roman" w:eastAsia="Times New Roman" w:hAnsi="Times New Roman"/>
          <w:sz w:val="22"/>
          <w:szCs w:val="22"/>
        </w:rPr>
        <w:t>Despite these documented performance gains, critical evaluation reveals systematic methodological limitations across the surveyed literature. The most prevalent vulnerability is the pervasive reliance on synthetic numerical simulations without physical hardware validation. Among the 15 reviewed papers, empirical testbed verification remains sparse; studies such as Shahjalal et al. (2024) and Afridi et al. (2024) evaluate performance exclusively within MATLAB or Python simulation environments under idealized Rayleigh and Rician fading assumptions. Offline training computational complexity is rarely accounted for in reported complexity tables. While feedforward inference latency is rapid, meta-learning pipelines such as Meng et al. (2026) require extensive gradient backpropagation and GPU memory resources incompatible with edge base station power envelopes. Most critically, widespread reliance on perfect channel state information (CSI) obscures empirical performance degradation; channel estimation error margins routinely erode theoretical beamforming gains in hardware implementations.</w:t>
      </w:r>
    </w:p>
    <w:p>
      <w:pPr>
        <w:spacing w:after="120" w:before="0" w:line="276"/>
        <w:jc w:val="both"/>
      </w:pPr>
      <w:r>
        <w:rPr>
          <w:rFonts w:ascii="Times New Roman" w:cs="Times New Roman" w:eastAsia="Times New Roman" w:hAnsi="Times New Roman"/>
          <w:sz w:val="22"/>
          <w:szCs w:val="22"/>
        </w:rPr>
        <w:t>Cross-study comparison further identifies severe domain fragmentation across the research domain. Investigated paradigms remain bifurcated into isolated analytical domains: physical-layer antenna engineering, algorithmic graph learning, and terahertz signal processing operate largely in parallel. Few integrated frameworks investigate the cumulative error compounding that occurs when vision-aided channel estimators feed imperfect state estimates into GNN-based schedulers driving quantized reflecting metasurfaces. Error accumulation across cascaded neural modules remains unquantified under dynamic operating conditions. Adopting outage-penalized objective loss formulations—such as the exact analytical loss framework developed by Simmons et al. (2024)—will be indispensable for stabilizing cascaded algorithmic pipelines in commercial transceivers.</w:t>
      </w:r>
    </w:p>
    <w:p>
      <w:pPr>
        <w:pStyle w:val="Heading1"/>
        <w:spacing w:after="100" w:before="240"/>
      </w:pPr>
      <w:r>
        <w:rPr>
          <w:rFonts w:ascii="Times New Roman" w:cs="Times New Roman" w:eastAsia="Times New Roman" w:hAnsi="Times New Roman"/>
          <w:b/>
          <w:bCs/>
          <w:sz w:val="26"/>
          <w:szCs w:val="26"/>
        </w:rPr>
        <w:t xml:space="preserve">5. Research Gaps and Challenges</w:t>
      </w:r>
    </w:p>
    <w:p>
      <w:pPr>
        <w:spacing w:after="120" w:before="0" w:line="276"/>
        <w:jc w:val="both"/>
      </w:pPr>
      <w:r>
        <w:rPr>
          <w:rFonts w:ascii="Times New Roman" w:cs="Times New Roman" w:eastAsia="Times New Roman" w:hAnsi="Times New Roman"/>
          <w:sz w:val="22"/>
          <w:szCs w:val="22"/>
        </w:rPr>
        <w:t>A primary challenge in assisted wireless networks resides in the acute latency mismatch between algorithmic inference and channel coherence intervals. Within sub-THz spectra (100–300 GHz), channel coherence times typically collapse to 300–500 microseconds under moderate mobility conditions. Conversely, multi-agent reinforcement learning convergence or deep graph message passing frequently requires 5–15 milliseconds across realistic network topologies (Farhadi et al., 2025; Shahjalal et al., 2024). Figure 2 illustrates this fundamental trade-off: pursuing peak spectral efficiency through iterative refinement introduces latency penalties that exceed the coherence budget. When beam selection latency exceeds channel coherence duration, transceivers align beamforming vectors toward obsolete channel states, precipitating severe packet erasure and link degradation.</w:t>
      </w:r>
    </w:p>
    <w:p>
      <w:pPr>
        <w:spacing w:after="120" w:before="0" w:line="276"/>
        <w:jc w:val="both"/>
      </w:pPr>
      <w:r>
        <w:rPr>
          <w:rFonts w:ascii="Times New Roman" w:cs="Times New Roman" w:eastAsia="Times New Roman" w:hAnsi="Times New Roman"/>
          <w:sz w:val="22"/>
          <w:szCs w:val="22"/>
        </w:rPr>
        <w:t>Systematic hardware non-idealities represent a second critical implementation barrier understated across numerical literature. Theoretical models typically presume ideal continuous phase tuning (θ_m ∈ [0, 2π)) across thousands of metasurface elements. In commercial silicon, continuous varactor diodes introduce severe insertion loss and power dissipation; cost-effective implementations rely on discrete 1-bit or 2-bit PIN diode switches that introduce discrete phase quantization errors (±π/2^b) and non-linear signal distortion (Rech et al., 2024). In addition, diode switching transitions induce transient phase jitter. As quantified in Figure 2, combined phase quantization, inter-element mutual RF coupling, and thermal noise routinely degrade measured beamforming gains by 4 to 6 dB relative to idealized IEEE numerical predictions.</w:t>
      </w:r>
    </w:p>
    <w:p>
      <w:pPr>
        <w:spacing w:after="120" w:before="0" w:line="276"/>
        <w:jc w:val="both"/>
      </w:pPr>
      <w:r>
        <w:rPr>
          <w:rFonts w:ascii="Times New Roman" w:cs="Times New Roman" w:eastAsia="Times New Roman" w:hAnsi="Times New Roman"/>
          <w:sz w:val="22"/>
          <w:szCs w:val="22"/>
        </w:rPr>
        <w:t>A third persistent challenge concerns policy generalization under out-of-distribution environmental non-stationarity. Neural policies optimized under stationary stochastic channel realizations exhibit sharp performance degradation when confronted with sudden shadowing blockages, vehicular Doppler shifts, or atmospheric precipitation changes. While meta-learning architectures provide nominal adaptation mechanisms, edge transceivers remain severely power- and memory-constrained. Overcoming policy brittleness requires incorporating electromagnetic domain constraints directly into neural objective functions, ensuring that predictive models remain physically bounded even during transient channel outages.</w:t>
      </w:r>
    </w:p>
    <w:p>
      <w:pPr>
        <w:spacing w:after="60" w:before="16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i/>
          <w:iCs/>
          <w:sz w:val="19"/>
          <w:szCs w:val="19"/>
        </w:rPr>
        <w:t xml:space="preserve">Figure 2: Empirical Benchmark Comparison across Metrics</w:t>
      </w:r>
    </w:p>
    <w:p>
      <w:pPr>
        <w:spacing w:after="60" w:before="16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i/>
          <w:iCs/>
          <w:sz w:val="19"/>
          <w:szCs w:val="19"/>
        </w:rPr>
        <w:t xml:space="preserve">Figure 3: Evolutionary Trajectory and Performance Trends</w:t>
      </w:r>
    </w:p>
    <w:p>
      <w:pPr>
        <w:pStyle w:val="Heading1"/>
        <w:spacing w:after="100" w:before="240"/>
      </w:pPr>
      <w:r>
        <w:rPr>
          <w:rFonts w:ascii="Times New Roman" w:cs="Times New Roman" w:eastAsia="Times New Roman" w:hAnsi="Times New Roman"/>
          <w:b/>
          <w:bCs/>
          <w:sz w:val="26"/>
          <w:szCs w:val="26"/>
        </w:rPr>
        <w:t xml:space="preserve">6. Future Research Agenda</w:t>
      </w:r>
    </w:p>
    <w:p>
      <w:pPr>
        <w:spacing w:after="120" w:before="0" w:line="276"/>
        <w:jc w:val="both"/>
      </w:pPr>
      <w:r>
        <w:rPr>
          <w:rFonts w:ascii="Times New Roman" w:cs="Times New Roman" w:eastAsia="Times New Roman" w:hAnsi="Times New Roman"/>
          <w:sz w:val="22"/>
          <w:szCs w:val="22"/>
        </w:rPr>
        <w:t>Isolated single-layer optimization strategies are approaching asymptotic performance ceilings. As illustrated in Figure 3, future physical-layer architectures must pursue cross-layer integration coupling multimodal environmental sensing with electromagnetic wavefront control. Integrating optical cameras, LiDAR, and radar telemetry with causal graph neural networks (Kim et al., 2026) offers a compelling blueprint. By visually detecting moving obstacles prior to physical line-of-sight blockage, edge transceivers can proactively reconfigure intelligent reflecting surfaces, bypassing packet loss before channel degradation occurs.</w:t>
      </w:r>
    </w:p>
    <w:p>
      <w:pPr>
        <w:spacing w:after="120" w:before="0" w:line="276"/>
        <w:jc w:val="both"/>
      </w:pPr>
      <w:r>
        <w:rPr>
          <w:rFonts w:ascii="Times New Roman" w:cs="Times New Roman" w:eastAsia="Times New Roman" w:hAnsi="Times New Roman"/>
          <w:sz w:val="22"/>
          <w:szCs w:val="22"/>
        </w:rPr>
        <w:t>A second foundational priority involves developing energy-frugal, decentralized graph models tailored for embedded digital signal processors (DSPs) and field-programmable gate arrays (FPGAs). Inference execution must complete within sub-2 millisecond intervals to satisfy strict Ultra-Reliable Low-Latency Communication (URLLC) specifications. Monolithic centralized neural controllers are commercially unviable. In parallel, widespread implementation requires zero-energy metasurface architectures, scaling the initial designs of Tota Khel et al. (2025) to harvest operational energy autonomously from ambient electromagnetic radiation and interference.</w:t>
      </w:r>
    </w:p>
    <w:p>
      <w:pPr>
        <w:spacing w:after="120" w:before="0" w:line="276"/>
        <w:jc w:val="both"/>
      </w:pPr>
      <w:r>
        <w:rPr>
          <w:rFonts w:ascii="Times New Roman" w:cs="Times New Roman" w:eastAsia="Times New Roman" w:hAnsi="Times New Roman"/>
          <w:sz w:val="22"/>
          <w:szCs w:val="22"/>
        </w:rPr>
        <w:t>Finally, the wireless communications community must transition from purely numerical simulations toward rigorous over-the-air testbed validation. Integrating machine learning algorithms with open-source Open Radio Access Network (O-RAN) architectures across software-defined radios will expose algorithms to genuine phase noise, carrier frequency offsets, and imperfect channel feedback. Mathematical simulations alone cannot establish commercial viability. Empirical over-the-air validation remains essential for transforming theoretical metasurface concepts into functional 6G telecommunications infrastructure.</w:t>
      </w:r>
    </w:p>
    <w:p>
      <w:pPr>
        <w:pStyle w:val="Heading1"/>
        <w:spacing w:after="100" w:before="240"/>
      </w:pPr>
      <w:r>
        <w:rPr>
          <w:rFonts w:ascii="Times New Roman" w:cs="Times New Roman" w:eastAsia="Times New Roman" w:hAnsi="Times New Roman"/>
          <w:b/>
          <w:bCs/>
          <w:sz w:val="26"/>
          <w:szCs w:val="26"/>
        </w:rPr>
        <w:t xml:space="preserve">7. Conclusion</w:t>
      </w:r>
    </w:p>
    <w:p>
      <w:pPr>
        <w:spacing w:after="120" w:before="0" w:line="276"/>
        <w:jc w:val="both"/>
      </w:pPr>
      <w:r>
        <w:rPr>
          <w:rFonts w:ascii="Times New Roman" w:cs="Times New Roman" w:eastAsia="Times New Roman" w:hAnsi="Times New Roman"/>
          <w:sz w:val="22"/>
          <w:szCs w:val="22"/>
        </w:rPr>
        <w:t>This systematic narrative review examined 15 flagship benchmark studies published between 2024 and 2026, establishing an empirical taxonomy that unifies topological graph neural networks, reconfigurable intelligent surfaces, and sub-terahertz channel tracking. Quantitative cross-study evaluation demonstrates that graph learning and deep reinforcement learning deliver demonstrable gains over classical iterative mathematical solvers—substantially reducing computational latency while improving multi-user spectral efficiency across dense wireless environments (Yin et al., 2025; Farhadi et al., 2025).</w:t>
      </w:r>
    </w:p>
    <w:p>
      <w:pPr>
        <w:spacing w:after="120" w:before="0" w:line="276"/>
        <w:jc w:val="both"/>
      </w:pPr>
      <w:r>
        <w:rPr>
          <w:rFonts w:ascii="Times New Roman" w:cs="Times New Roman" w:eastAsia="Times New Roman" w:hAnsi="Times New Roman"/>
          <w:sz w:val="22"/>
          <w:szCs w:val="22"/>
        </w:rPr>
        <w:t>Nevertheless, our comparative synthesis highlights that theoretical performance gains frequently diminish when confronted with physical hardware constraints. Inference execution latency, discrete PIN diode phase quantization, control backhaul signaling overhead, and idealized CSI assumptions represent significant deployment bottlenecks. As mapped across Figures 1 and 2, resolving the divergence between numerical simulation models and physical silicon constraints defines the central engineering imperative for next-generation physical layers.</w:t>
      </w:r>
    </w:p>
    <w:p>
      <w:pPr>
        <w:spacing w:after="120" w:before="0" w:line="276"/>
        <w:jc w:val="both"/>
      </w:pPr>
      <w:r>
        <w:rPr>
          <w:rFonts w:ascii="Times New Roman" w:cs="Times New Roman" w:eastAsia="Times New Roman" w:hAnsi="Times New Roman"/>
          <w:sz w:val="22"/>
          <w:szCs w:val="22"/>
        </w:rPr>
        <w:t>Realizing the full operational potential of assisted wireless networks requires multimodal causal sensing, lightweight decentralized graph processing, and rigorous hardware testbed validation. By addressing these foundational implementation challenges directly, the wireless research community can transition assisted communications from theoretical constructs into robust, adaptive physical layers for commercial sixth-generation networks.</w:t>
      </w:r>
    </w:p>
    <w:p>
      <w:pPr>
        <w:pStyle w:val="Heading1"/>
        <w:spacing w:after="100" w:before="240"/>
      </w:pPr>
      <w:r>
        <w:rPr>
          <w:rFonts w:ascii="Times New Roman" w:cs="Times New Roman" w:eastAsia="Times New Roman" w:hAnsi="Times New Roman"/>
          <w:b/>
          <w:bCs/>
          <w:sz w:val="26"/>
          <w:szCs w:val="26"/>
        </w:rPr>
        <w:t xml:space="preserve">Acknowledgments</w:t>
      </w:r>
    </w:p>
    <w:p>
      <w:pPr>
        <w:spacing w:after="120" w:before="0" w:line="276"/>
        <w:jc w:val="both"/>
      </w:pPr>
      <w:r>
        <w:rPr>
          <w:rFonts w:ascii="Times New Roman" w:cs="Times New Roman" w:eastAsia="Times New Roman" w:hAnsi="Times New Roman"/>
          <w:sz w:val="22"/>
          <w:szCs w:val="22"/>
        </w:rPr>
        <w:t>The authors express sincere gratitude to the wireless communications laboratory and high-performance computing facilities at Christ Academy Institute for Advanced Studies for supporting this research synthesis and data analysis.</w:t>
      </w:r>
    </w:p>
    <w:p>
      <w:pPr>
        <w:pStyle w:val="Heading1"/>
        <w:spacing w:after="100" w:before="240"/>
      </w:pPr>
      <w:r>
        <w:rPr>
          <w:rFonts w:ascii="Times New Roman" w:cs="Times New Roman" w:eastAsia="Times New Roman" w:hAnsi="Times New Roman"/>
          <w:b/>
          <w:bCs/>
          <w:sz w:val="26"/>
          <w:szCs w:val="26"/>
        </w:rPr>
        <w:t xml:space="preserve">References</w:t>
      </w:r>
    </w:p>
    <w:p>
      <w:pPr>
        <w:spacing w:after="70" w:before="0" w:line="250"/>
        <w:jc w:val="both"/>
      </w:pPr>
      <w:r>
        <w:rPr>
          <w:rFonts w:ascii="Times New Roman" w:cs="Times New Roman" w:eastAsia="Times New Roman" w:hAnsi="Times New Roman"/>
          <w:sz w:val="19"/>
          <w:szCs w:val="19"/>
        </w:rPr>
        <w:t xml:space="preserve">Kitae Kim, Yan Kyaw Tun, Md. Shirajum Munir, Christo Kurisummoottil Thomas, Walid Saad, Choong Seon Hong (2026). Vision and Causal Learning Based Channel Estimation for THz Communications. IEEE Transactions on Mobile Computing. https://doi.org/10.1109/tmc.2026.3673506</w:t>
      </w:r>
    </w:p>
    <w:p>
      <w:pPr>
        <w:spacing w:after="70" w:before="0" w:line="250"/>
        <w:jc w:val="both"/>
      </w:pPr>
      <w:r>
        <w:rPr>
          <w:rFonts w:ascii="Times New Roman" w:cs="Times New Roman" w:eastAsia="Times New Roman" w:hAnsi="Times New Roman"/>
          <w:sz w:val="19"/>
          <w:szCs w:val="19"/>
        </w:rPr>
        <w:t xml:space="preserve">B T Vijay, M. N. Varshini, R. Chaithra (2026). Distributed Edge Intelligence for Efficient Artificial Intelligence Inference over Sixth-Generation Wireless Networks. AI Computer Science and Robotics Technology. https://doi.org/10.5772/acrt.20260029</w:t>
      </w:r>
    </w:p>
    <w:p>
      <w:pPr>
        <w:spacing w:after="70" w:before="0" w:line="250"/>
        <w:jc w:val="both"/>
      </w:pPr>
      <w:r>
        <w:rPr>
          <w:rFonts w:ascii="Times New Roman" w:cs="Times New Roman" w:eastAsia="Times New Roman" w:hAnsi="Times New Roman"/>
          <w:sz w:val="19"/>
          <w:szCs w:val="19"/>
        </w:rPr>
        <w:t xml:space="preserve">Muhammad Owais, Thokozani C. Shongwe (2026). Machine Learning-Enabled 5G and 6G Networks: Methods, Challenges, and Opportunities. Applied Sciences. https://doi.org/10.3390/app16042071</w:t>
      </w:r>
    </w:p>
    <w:p>
      <w:pPr>
        <w:spacing w:after="70" w:before="0" w:line="250"/>
        <w:jc w:val="both"/>
      </w:pPr>
      <w:r>
        <w:rPr>
          <w:rFonts w:ascii="Times New Roman" w:cs="Times New Roman" w:eastAsia="Times New Roman" w:hAnsi="Times New Roman"/>
          <w:sz w:val="19"/>
          <w:szCs w:val="19"/>
        </w:rPr>
        <w:t xml:space="preserve">Chanyuan Meng, Ke Xiong, Bo Gao, Qiang Ni, Pingyi Fan, Derrick Wing Kwan Ng, Bo Ai, K.B. Letaief (2026). RHS-Based Robust Hybrid Cooperative Beamforming in mmWave IoV: A Lifelong Graph Learning-Based Method. IEEE Transactions on Mobile Computing. https://doi.org/10.1109/tmc.2026.3697269</w:t>
      </w:r>
    </w:p>
    <w:p>
      <w:pPr>
        <w:spacing w:after="70" w:before="0" w:line="250"/>
        <w:jc w:val="both"/>
      </w:pPr>
      <w:r>
        <w:rPr>
          <w:rFonts w:ascii="Times New Roman" w:cs="Times New Roman" w:eastAsia="Times New Roman" w:hAnsi="Times New Roman"/>
          <w:sz w:val="19"/>
          <w:szCs w:val="19"/>
        </w:rPr>
        <w:t xml:space="preserve">Ahmad Massud Tota Khel, Aïssa Ikhlef, Zhiguo Ding, Hongjian Sun (2025). Zero-Energy RIS-Assisted Communications With Noise Modulation and Interference-Based Energy Harvesting. IEEE Transactions on Green Communications and Networking. https://doi.org/10.1109/tgcn.2025.3578423</w:t>
      </w:r>
    </w:p>
    <w:p>
      <w:pPr>
        <w:spacing w:after="70" w:before="0" w:line="250"/>
        <w:jc w:val="both"/>
      </w:pPr>
      <w:r>
        <w:rPr>
          <w:rFonts w:ascii="Times New Roman" w:cs="Times New Roman" w:eastAsia="Times New Roman" w:hAnsi="Times New Roman"/>
          <w:sz w:val="19"/>
          <w:szCs w:val="19"/>
        </w:rPr>
        <w:t xml:space="preserve">Yasir Ullah, Mardeni Roslee, S. M. Mitani, Muhammad Sheraz, Farman Ali, Khursheed Aurangzeb, Anwar Faizd Osman, Fatimah Zaharah Ali (2025). A survey on AI-enabled mobility and handover management in future wireless networks: key technologies, use cases, and challenges. Journal of King Saud University - Computer and Information Sciences. https://doi.org/10.1007/s44443-025-00048-9</w:t>
      </w:r>
    </w:p>
    <w:p>
      <w:pPr>
        <w:spacing w:after="70" w:before="0" w:line="250"/>
        <w:jc w:val="both"/>
      </w:pPr>
      <w:r>
        <w:rPr>
          <w:rFonts w:ascii="Times New Roman" w:cs="Times New Roman" w:eastAsia="Times New Roman" w:hAnsi="Times New Roman"/>
          <w:sz w:val="19"/>
          <w:szCs w:val="19"/>
        </w:rPr>
        <w:t xml:space="preserve">Bo Yin, Jorn Schampheleer, Wout Joseph, Margot Deruyck (2025). Graph Neural Network-Based Energy-Efficient Optimization for RIS-Assisted Wireless Networks. IEEE Transactions on Wireless Communications. https://doi.org/10.1109/twc.2025.3585772</w:t>
      </w:r>
    </w:p>
    <w:p>
      <w:pPr>
        <w:spacing w:after="70" w:before="0" w:line="250"/>
        <w:jc w:val="both"/>
      </w:pPr>
      <w:r>
        <w:rPr>
          <w:rFonts w:ascii="Times New Roman" w:cs="Times New Roman" w:eastAsia="Times New Roman" w:hAnsi="Times New Roman"/>
          <w:sz w:val="19"/>
          <w:szCs w:val="19"/>
        </w:rPr>
        <w:t xml:space="preserve">Armin Farhadi, Ali Olfat, Christos Masouros (2025). Joint Beamforming and Resource Allocation for STAR-IRS-Aided SCMA ISAC Systems Using Meta Deep Reinforcement Learning. IEEE Transactions on Wireless Communications. https://doi.org/10.1109/twc.2025.3580347</w:t>
      </w:r>
    </w:p>
    <w:p>
      <w:pPr>
        <w:spacing w:after="70" w:before="0" w:line="250"/>
        <w:jc w:val="both"/>
      </w:pPr>
      <w:r>
        <w:rPr>
          <w:rFonts w:ascii="Times New Roman" w:cs="Times New Roman" w:eastAsia="Times New Roman" w:hAnsi="Times New Roman"/>
          <w:sz w:val="19"/>
          <w:szCs w:val="19"/>
        </w:rPr>
        <w:t xml:space="preserve">Anastasios Giannopoulos, Panagiotis K. Gkonis, Alexandros Kalafatelis, Νικόλαος Νομικός, Sotirios Spantideas, Panagiotis T. Trakadas, Theodore C. Syriopoulos (2025). From 6G to SeaX-G: Integrated 6G TN/NTN for AI-Assisted Maritime Communications—Architecture, Enablers, and Optimization Problems. Journal of Marine Science and Engineering. https://doi.org/10.3390/jmse13061103</w:t>
      </w:r>
    </w:p>
    <w:p>
      <w:pPr>
        <w:spacing w:after="70" w:before="0" w:line="250"/>
        <w:jc w:val="both"/>
      </w:pPr>
      <w:r>
        <w:rPr>
          <w:rFonts w:ascii="Times New Roman" w:cs="Times New Roman" w:eastAsia="Times New Roman" w:hAnsi="Times New Roman"/>
          <w:sz w:val="19"/>
          <w:szCs w:val="19"/>
        </w:rPr>
        <w:t xml:space="preserve">Kinzah Noor, Agbotiname Lucky Imoize, Michael Adedosu Adelabu, Cheng‐Chi Lee (2025). A Comprehensive Survey on AI-Assisted Multiple Access Enablers for 6G and beyond Wireless Networks. Computer Modeling in Engineering &amp; Sciences. https://doi.org/10.32604/cmes.2025.073200</w:t>
      </w:r>
    </w:p>
    <w:p>
      <w:pPr>
        <w:spacing w:after="70" w:before="0" w:line="250"/>
        <w:jc w:val="both"/>
      </w:pPr>
      <w:r>
        <w:rPr>
          <w:rFonts w:ascii="Times New Roman" w:cs="Times New Roman" w:eastAsia="Times New Roman" w:hAnsi="Times New Roman"/>
          <w:sz w:val="19"/>
          <w:szCs w:val="19"/>
        </w:rPr>
        <w:t xml:space="preserve">Alberto Rech, Matteo Pagin, Leonardo Badia, Stefano Tomasin, Marco Giordani, Jonathan Gambini, Michele Zorzi (2024). Clustering-Based Downlink Scheduling of IRS-Assisted Communications With Reconfiguration Constraints. IEEE Transactions on Wireless Communications. https://doi.org/10.1109/twc.2024.3469559</w:t>
      </w:r>
    </w:p>
    <w:p>
      <w:pPr>
        <w:spacing w:after="70" w:before="0" w:line="250"/>
        <w:jc w:val="both"/>
      </w:pPr>
      <w:r>
        <w:rPr>
          <w:rFonts w:ascii="Times New Roman" w:cs="Times New Roman" w:eastAsia="Times New Roman" w:hAnsi="Times New Roman"/>
          <w:sz w:val="19"/>
          <w:szCs w:val="19"/>
        </w:rPr>
        <w:t xml:space="preserve">Abid Afridi, Iqra Hameed, Insoo Koo (2024). Quantum PSO-Based Optimization of Secured IRS-Assisted Wireless-Powered IoT Networks. Applied Sciences. https://doi.org/10.3390/app142411677</w:t>
      </w:r>
    </w:p>
    <w:p>
      <w:pPr>
        <w:spacing w:after="70" w:before="0" w:line="250"/>
        <w:jc w:val="both"/>
      </w:pPr>
      <w:r>
        <w:rPr>
          <w:rFonts w:ascii="Times New Roman" w:cs="Times New Roman" w:eastAsia="Times New Roman" w:hAnsi="Times New Roman"/>
          <w:sz w:val="19"/>
          <w:szCs w:val="19"/>
        </w:rPr>
        <w:t xml:space="preserve">Nidhi Simmons, David E. Simmons, Michel Daoud Yacoub (2024). Outage Performance and Novel Loss Function for an ML-Assisted Resource Allocation: An Exact Analytical Framework. IEEE Transactions on Machine Learning in Communications and Networking. https://doi.org/10.1109/tmlcn.2024.3369007</w:t>
      </w:r>
    </w:p>
    <w:p>
      <w:pPr>
        <w:spacing w:after="70" w:before="0" w:line="250"/>
        <w:jc w:val="both"/>
      </w:pPr>
      <w:r>
        <w:rPr>
          <w:rFonts w:ascii="Times New Roman" w:cs="Times New Roman" w:eastAsia="Times New Roman" w:hAnsi="Times New Roman"/>
          <w:sz w:val="19"/>
          <w:szCs w:val="19"/>
        </w:rPr>
        <w:t xml:space="preserve">Md. Asif Shahjalal, Md. Habibur Rahman, Md Morshed Alam, Mostafa Zaman Chowdhury, Yeong Min Jang (2024). DRL-Assisted Dynamic Subconnected Hybrid Precoding for Multi-Layer THz mMIMO-NOMA System. IEEE Transactions on Vehicular Technology. https://doi.org/10.1109/tvt.2024.3385494</w:t>
      </w:r>
    </w:p>
    <w:p>
      <w:pPr>
        <w:spacing w:after="70" w:before="0" w:line="250"/>
        <w:jc w:val="both"/>
      </w:pPr>
      <w:r>
        <w:rPr>
          <w:rFonts w:ascii="Times New Roman" w:cs="Times New Roman" w:eastAsia="Times New Roman" w:hAnsi="Times New Roman"/>
          <w:sz w:val="19"/>
          <w:szCs w:val="19"/>
        </w:rPr>
        <w:t xml:space="preserve">Claudia Carballo González, Ernesto Fontes Pupo, Eneko Iradier, Pablo Angueira, Maurizio Murroni, Jon Montalbán (2024). Network Selection Over 5G-Advanced Heterogeneous Networks Based on Federated Learning and Cooperative Game Theory. IEEE Transactions on Vehicular Technology. https://doi.org/10.1109/tvt.2024.3373638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f1d31f21ad69dfd84c3dbe12142f9fe6e32f543.png"/><Relationship Id="rId9" Type="http://schemas.openxmlformats.org/officeDocument/2006/relationships/image" Target="media/2870a6225e73073ed370f11716e91e8b2d9d44e8.png"/><Relationship Id="rId10" Type="http://schemas.openxmlformats.org/officeDocument/2006/relationships/image" Target="media/3de33351d229e16ab7025e70c510b8ce05d3337e.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2026-10-07T04:27:44.750Z</dcterms:created>
  <dcterms:modified xsi:type="dcterms:W3CDTF">2026-10-07T04:27:44.752Z</dcterms:modified>
</cp:coreProperties>
</file>

<file path=docProps/custom.xml><?xml version="1.0" encoding="utf-8"?>
<Properties xmlns="http://schemas.openxmlformats.org/officeDocument/2006/custom-properties" xmlns:vt="http://schemas.openxmlformats.org/officeDocument/2006/docPropsVTypes"/>
</file>