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160" ns0:before="0"/>
        <ns0:jc ns0:val="center"/>
      </ns0:pPr>
      <ns0:r>
        <ns0:rPr>
          <ns0:rFonts ns0:ascii="Times New Roman" ns0:cs="Times New Roman" ns0:eastAsia="Times New Roman" ns0:hAnsi="Times New Roman"/>
          <ns0:b/>
          <ns0:bCs/>
          <ns0:sz ns0:val="32"/>
          <ns0:szCs ns0:val="32"/>
        </ns0:rPr>
        <ns0:t xml:space="preserve">Assisted wireless architectures require rigorous systematization. By synthesizing recent empirical benchmarks and emerging operational paradigms, this review categorizes the physical-layer challenges and optimization frameworks that govern active and passive relaying mechanisms under highly dynamic channel environments [1], [2]. Legacy taxonomic models fail here. Consequently, we execute a thematic synthesis of heterogeneous deployment strategies, mapping empirical signal-to-interference-plus-noise ratio (SINR) metrics against theoretical capacity bounds to identify persistent performance bottlenecks in millimeter-wave and sub-terahertz regimes [3]. We resolve these architectural discrepancies. Through a systematic narrative of state-of-the-art propagation models, this work establishes a standardized evaluation baseline, enabling direct comparative analysis of intelligent reflecting surfaces versus conventional cooperative relaying topologies [4], [5].</ns0:t>
      </ns0:r>
    </ns0:p>
    <ns0:p>
      <ns0:pPr>
        <ns0:spacing ns0:after="40" ns0:before="0"/>
        <ns0:jc ns0:val="center"/>
      </ns0:pPr>
      <ns0:r>
        <ns0:rPr>
          <ns0:rFonts ns0:ascii="Times New Roman" ns0:cs="Times New Roman" ns0:eastAsia="Times New Roman" ns0:hAnsi="Times New Roman"/>
          <ns0:b/>
          <ns0:bCs/>
          <ns0:sz ns0:val="22"/>
          <ns0:szCs ns0:val="22"/>
        </ns0:rPr>
        <ns0:t xml:space="preserve">Ajith Rajendiran</ns0:t>
      </ns0:r>
    </ns0:p>
    <ns0:p>
      <ns0:pPr>
        <ns0:spacing ns0:after="40" ns0:before="0"/>
        <ns0:jc ns0:val="center"/>
      </ns0:pPr>
      <ns0:r>
        <ns0:rPr>
          <ns0:rFonts ns0:ascii="Times New Roman" ns0:cs="Times New Roman" ns0:eastAsia="Times New Roman" ns0:hAnsi="Times New Roman"/>
          <ns0:i/>
          <ns0:iCs/>
          <ns0:sz ns0:val="20"/>
          <ns0:szCs ns0:val="20"/>
        </ns0:rPr>
        <ns0:t xml:space="preserve">Christ Academy Institute for Advanced Studies</ns0:t>
      </ns0:r>
    </ns0:p>
    <ns0:p>
      <ns0:pPr>
        <ns0:spacing ns0:after="200" ns0:before="0"/>
        <ns0:jc ns0:val="center"/>
      </ns0:pPr>
      <ns0:r>
        <ns0:rPr>
          <ns0:rFonts ns0:ascii="Times New Roman" ns0:cs="Times New Roman" ns0:eastAsia="Times New Roman" ns0:hAnsi="Times New Roman"/>
          <ns0:sz ns0:val="19"/>
          <ns0:szCs ns0:val="19"/>
        </ns0:rPr>
        <ns0:t xml:space="preserve">ajithrajendiran9@gmail.com</ns0:t>
      </ns0:r>
    </ns0:p>
    <ns0:p>
      <ns0:pPr>
        <ns0:spacing ns0:after="80" ns0:before="120" ns0:line="276"/>
        <ns0:jc ns0:val="both"/>
      </ns0:pPr>
      <ns0:r>
        <ns0:rPr>
          <ns0:rFonts ns0:ascii="Times New Roman" ns0:cs="Times New Roman" ns0:eastAsia="Times New Roman" ns0:hAnsi="Times New Roman"/>
          <ns0:b/>
          <ns0:bCs/>
          <ns0:sz ns0:val="21"/>
          <ns0:szCs ns0:val="21"/>
        </ns0:rPr>
        <ns0:t>Sub-terahertz propagation limits wireless scaling. While brute-force radio frequency power scaling fails to resolve these issues, deploying sixth-generation (6G) networks across the 100–300 GHz and millimetric bands suffers from intense atmospheric absorption resonances, high molecular attenuation, and catastrophic shadow fading along non-line-of-sight propagation paths. Intelligent metasurfaces alter this paradigm. Integrating Reconfigurable Intelligent Surfaces (RIS) with graph neural networks (GNNs) and deep reinforcement learning (DRL) enables adaptive multipath synthesis, which we examine by synthesizing 15 flagship empirical and theoretical benchmark studies published between 2024 and 2026 across IEEE, ACM, and MDPI databases. We establish a rigorous taxonomy. This classification categorizes GNN-driven topological edge scheduling, self-powered RIS metasurface beamforming, and multimodal terahertz channel tracking, demonstrating that neural resource allocation converges up to ten times faster than successive convex approximation (SCA) while simultaneously enhancing multi-user spectral efficiency by 15–35%. Severe hardware constraints still remain. Current algorithmic formulations routinely ignore circuit-level power dissipation, discrete 1-bit or 2-bit PIN diode phase quantization errors (±π/2^b), inference latency exceeding channel coherence intervals (τ_c ≈ 300–500 μs), and non-ideal channel state information (CSI). Practical validation remains highly elusive. To resolve these discrepancies, we present concrete architectural blueprints that directly bridge idealized numerical simulations of intelligent electromagnetic environments with real-world, open-source O-RAN software-defined radio testbeds for physical-layer validation.</ns0:t>
      </ns0:r>
      <ns0:r>
        <ns0:rPr>
          <ns0:rFonts ns0:ascii="Times New Roman" ns0:cs="Times New Roman" ns0:eastAsia="Times New Roman" ns0:hAnsi="Times New Roman"/>
          <ns0:sz ns0:val="21"/>
          <ns0:szCs ns0:val="21"/>
        </ns0:rPr>
      </ns0:r>
    </ns0:p>
    <ns0:p>
      <ns0:pPr>
        <ns0:spacing ns0:after="240" ns0:before="40" ns0:line="276"/>
        <ns0:jc ns0:val="both"/>
      </ns0:pPr>
      <ns0:r>
        <ns0:rPr>
          <ns0:rFonts ns0:ascii="Times New Roman" ns0:cs="Times New Roman" ns0:eastAsia="Times New Roman" ns0:hAnsi="Times New Roman"/>
          <ns0:i/>
          <ns0:iCs/>
          <ns0:sz ns0:val="20"/>
          <ns0:szCs ns0:val="20"/>
        </ns0:rPr>
        <ns0:t xml:space="preserve">Keywords: Assisted Networks Wireless, Graph Neural Networks, Reconfigurable Intelligent Surfaces, Terahertz Communications, Resource Allocation</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1. Introduction</ns0:t>
      </ns0:r>
    </ns0:p>
    <ns0:p>
      <ns0:pPr>
        <ns0:spacing ns0:after="120" ns0:before="0" ns0:line="276"/>
        <ns0:jc ns0:val="both"/>
      </ns0:pPr>
      <ns0:r>
        <ns0:rPr>
          <ns0:rFonts ns0:ascii="Times New Roman" ns0:cs="Times New Roman" ns0:eastAsia="Times New Roman" ns0:hAnsi="Times New Roman"/>
          <ns0:sz ns0:val="22"/>
          <ns0:szCs ns0:val="22"/>
        </ns0:rPr>
        <ns0:t>Sixth-generation (6G) networks demand unprecedented performance. To support peak data rates exceeding 100 Gbps, sub-millisecond end-to-end latencies, and connection densities reaching 10^7 devices per square kilometer, commercial architectures must migrate toward millimeter-wave (30–100 GHz) and sub-terahertz (100–300 GHz) bands. High-frequency propagation introduces severe attenuation. Operating at sub-millimeter wavelengths (λ &lt; 3 mm) incurs extreme free-space path loss alongside pronounced molecular absorption near the 183 GHz water vapor resonance line, while dynamic blockages in dense urban topographies induce diffraction losses exceeding 30–40 dB. Traditional hardware scaling is unsustainable. Because scaling transceiver radio-frequency (RF) chains and transmit power yields prohibitive thermal saturation, modern research favors smart radio environments (SREs) where Reconfigurable Intelligent Surfaces (RIS) and edge-native Graph Neural Networks (GNNs) actively manipulate the propagation medium.</ns0:t>
      </ns0:r>
    </ns0:p>
    <ns0:p>
      <ns0:pPr>
        <ns0:spacing ns0:after="120" ns0:before="0" ns0:line="276"/>
        <ns0:jc ns0:val="both"/>
      </ns0:pPr>
      <ns0:r>
        <ns0:rPr>
          <ns0:rFonts ns0:ascii="Times New Roman" ns0:cs="Times New Roman" ns0:eastAsia="Times New Roman" ns0:hAnsi="Times New Roman"/>
          <ns0:sz ns0:val="22"/>
          <ns0:szCs ns0:val="22"/>
        </ns0:rPr>
        <ns0:t>Physical-layer electromagnetics investigations model metasurface passive beamforming under static, single-user channel states rarely observed in operational deployments. Conversely, machine learning studies formulate high-dimensional deep reinforcement learning (DRL) algorithms for vehicular handover scheduling while neglecting physical phase-shifter switching delays and insertion losses. These domains remain fundamentally disconnected. Few investigations evaluate the coupled interactions among distributed metasurface controllers, topological message-passing graph architectures, and non-stationary sub-THz channel fading within unified transceiver pipelines. Algorithmic convergence latency must remain strictly bounded within rapid channel coherence intervals ($\tau_c \approx 300\text{--}500\text{ }\mu\text{s}$); otherwise, computed phase configurations diverge from instantaneous physical channel realizations. While extensive literature assumes unquantized phase shifts and perfect channel state information (CSI), real-world deployments confront severe channel estimation overhead and hardware non-idealities. This synthesis reconciles these discrepancies by contrasting algorithmic convergence against physical hardware boundaries across 15 peer-reviewed benchmark studies.</ns0:t>
      </ns0:r>
    </ns0:p>
    <ns0:p>
      <ns0:pPr>
        <ns0:spacing ns0:after="120" ns0:before="0" ns0:line="276"/>
        <ns0:jc ns0:val="both"/>
      </ns0:pPr>
      <ns0:r>
        <ns0:rPr>
          <ns0:rFonts ns0:ascii="Times New Roman" ns0:cs="Times New Roman" ns0:eastAsia="Times New Roman" ns0:hAnsi="Times New Roman"/>
          <ns0:sz ns0:val="22"/>
          <ns0:szCs ns0:val="22"/>
        </ns0:rPr>
        <ns0:t>To establish rigorous design guidelines, this review addresses three fundamental research questions. Under what mobility regimes, user densities, and topological scales do GNN-driven resource allocators demonstrate verifiable empirical convergence superior to classical successive convex approximation (SCA) solvers? what performance Pareto frontiers govern the concurrent integration of active RIS metasurfaces, non-orthogonal multiple access (NOMA), and sub-THz hybrid precoding? Finally, which hardware impairments—specifically discrete PIN diode phase quantization, backhaul control latency, and imperfect channel feedback—impose the most acute barriers to commercial silicon implementation? By systematically evaluating 15 benchmark studies across IEEE, ACM, and MDPI corpuses, we establish a validated architectural taxonomy, expose systematic methodological evaluation gaps, and formulate concrete deployment blueprints for sixth-generation physical layers.</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2. Review Methodology</ns0:t>
      </ns0:r>
    </ns0:p>
    <ns0:p>
      <ns0:pPr>
        <ns0:spacing ns0:after="120" ns0:before="0" ns0:line="276"/>
        <ns0:jc ns0:val="both"/>
      </ns0:pPr>
      <ns0:r>
        <ns0:rPr>
          <ns0:rFonts ns0:ascii="Times New Roman" ns0:cs="Times New Roman" ns0:eastAsia="Times New Roman" ns0:hAnsi="Times New Roman"/>
          <ns0:sz ns0:val="22"/>
          <ns0:szCs ns0:val="22"/>
        </ns0:rPr>
        <ns0:t>To guarantee empirical reproducibility and methodological transparency, this investigation implements a structured narrative review paradigm integrated with thematic synthesis. Between January 2024 and mid-2026, four primary digital repositories were systematically queried: IEEE Xplore, Scopus, ACM Digital Library, and MDPI. The retrieval protocol utilized rigorous Boolean expressions targeting the precise intersection of computational intelligence, smart electromagnetics, and high-frequency propagation: ('reconfigurable intelligent surface' OR 'RIS' OR 'STAR-IRS') AND ('graph neural network' OR 'GNN' OR 'deep reinforcement learning') AND ('terahertz' OR 'THz' OR 'assisted wireless'). Filtering through this strict search pipeline yielded an initial corpus of 184 peer-reviewed manuscripts spanning archival journal transactions, archival conference proceedings, and early-access publications.</ns0:t>
      </ns0:r>
    </ns0:p>
    <ns0:p>
      <ns0:pPr>
        <ns0:spacing ns0:after="120" ns0:before="0" ns0:line="276"/>
        <ns0:jc ns0:val="both"/>
      </ns0:pPr>
      <ns0:r>
        <ns0:rPr>
          <ns0:rFonts ns0:ascii="Times New Roman" ns0:cs="Times New Roman" ns0:eastAsia="Times New Roman" ns0:hAnsi="Times New Roman"/>
          <ns0:sz ns0:val="22"/>
          <ns0:szCs ns0:val="22"/>
        </ns0:rPr>
        <ns0:t>Manuscripts underwent strict, multi-stage inclusion screening. Eligibility mandated verifiable quantitative simulation benchmarks, explicit analytical system models, or empirical testbed measurements. Conceptual perspective papers and qualitative white papers lacking rigorous validation were systematically omitted. Studies restricted exclusively to conventional sub-6 GHz spectrum without reconfigurable metasurface integration were discarded. Conference contributions exhibiting non-transparent parameter sweeps were rejected in favor of Q1 IEEE/ACM journal transactions maintaining transparent reproducible baselines. Applying these selection parameters yielded a final curated benchmark cohort of 15 flagship studies for structured thematic analysis.</ns0:t>
      </ns0:r>
    </ns0:p>
    <ns0:p>
      <ns0:pPr>
        <ns0:spacing ns0:after="120" ns0:before="0" ns0:line="276"/>
        <ns0:jc ns0:val="both"/>
      </ns0:pPr>
      <ns0:r>
        <ns0:rPr>
          <ns0:rFonts ns0:ascii="Times New Roman" ns0:cs="Times New Roman" ns0:eastAsia="Times New Roman" ns0:hAnsi="Times New Roman"/>
          <ns0:sz ns0:val="22"/>
          <ns0:szCs ns0:val="22"/>
        </ns0:rPr>
        <ns0:t>Empirical data points across the 15 selected studies underwent systematic extraction along six standardized architectural axes encompassing target network topologies like cell-free massive MIMO, vehicular networks, or integrated space-air-ground networks, machine learning paradigms including graph neural networks, meta-DRL, quantum heuristics, or causal variational inference, primary optimization metrics such as sum spectral efficiency, energy efficiency, secrecy capacity, comparative mathematical baselines, channel modeling fidelity categorized by perfect versus imperfect CSI, and evaluated hardware constraints. Baseline architectures established by Yin et al. (2025) and Meng et al. (2026) furnished quantitative reference points regarding graph convolutional resource management. Conversely, the empirical models presented by Shahjalal et al. (2024) formulated rigorous comparative metrics for sub-THz hybrid precoding. This matrix supplied the substrate. Cross-study comparative synthesis followed.</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3. Thematic Synthesis</ns0:t>
      </ns0:r>
    </ns0:p>
    <ns0:p>
      <ns0:pPr>
        <ns0:spacing ns0:after="120" ns0:before="0" ns0:line="276"/>
        <ns0:jc ns0:val="both"/>
      </ns0:pPr>
      <ns0:r>
        <ns0:rPr>
          <ns0:rFonts ns0:ascii="Times New Roman" ns0:cs="Times New Roman" ns0:eastAsia="Times New Roman" ns0:hAnsi="Times New Roman"/>
          <ns0:sz ns0:val="22"/>
          <ns0:szCs ns0:val="22"/>
        </ns0:rPr>
        <ns0:t>Thematic synthesis across the 15 benchmark studies identifies three core architectural clusters: topological graph learning for distributed scheduling, reconfigurable metasurface wavefront engineering, and sensory-assisted sub-terahertz channel tracking. Figure 1 illustrates this taxonomic structure. The first cluster frames complex wireless networks as non-Euclidean topological graphs. Classical matrix optimization algorithms incur prohibitive polynomial complexity ($\mathcal{O}(K^3)$) as user nodes and antenna elements scale. Graph neural networks bypass these dimensionality bottlenecks by modeling mobile transceivers and reflecting metasurfaces as permutation-invariant graph nodes interconnected by channel gain edges. Yin et al. (2025) demonstrated this architectural advantage: their vertex- and edge-featured message passing framework optimized hybrid beamforming vectors and RIS phase configurations concurrently, reducing inference latency by nearly an order of magnitude relative to semi-definite relaxation (SDR). Meng et al. (2026) applied continuous graph learning to connected vehicular environments, where incremental graph convolutional updates dynamically tracked high-speed Doppler shifts without inducing catastrophic forgetting across temporal states.</ns0:t>
      </ns0:r>
    </ns0:p>
    <ns0:p>
      <ns0:pPr>
        <ns0:spacing ns0:after="120" ns0:before="0" ns0:line="276"/>
        <ns0:jc ns0:val="both"/>
      </ns0:pPr>
      <ns0:r>
        <ns0:rPr>
          <ns0:rFonts ns0:ascii="Times New Roman" ns0:cs="Times New Roman" ns0:eastAsia="Times New Roman" ns0:hAnsi="Times New Roman"/>
          <ns0:sz ns0:val="22"/>
          <ns0:szCs ns0:val="22"/>
        </ns0:rPr>
        <ns0:t>The second architectural cluster targets metasurface physical realizations, progressing from passive reflecting arrays toward self-energizing and bidirectional transmissive surfaces. Addressing the persistent energy consumption bottleneck, Tota Khel et al. (2025) coupled constructive multi-user interference harvesting with ambient noise modulation, operating active metasurface phase shifters without auxiliary external power supplies. Farhadi et al. (2025) advanced this domain via simultaneously transmitting and reflecting surfaces (STAR-IRS) paired with sparse code multiple access (SCMA), employing meta-reinforcement learning to balance radar sensing precision against communication sum-rates. Hardware deployment costs remain non-trivial. Rech et al. (2024) demonstrated that continuous phase-shift feedback across large-scale element arrays generates severe control signaling overhead along the backhaul link. To mitigate this overhead, the authors proposed user clustering protocols constrained to coarse 1-bit and 2-bit phase states ($\Delta\theta \in \{\pi, \pi/2\}$), decreasing backhaul signaling load by over 60% with less than a 7% degradation in achievable sum spectral efficiency.</ns0:t>
      </ns0:r>
    </ns0:p>
    <ns0:p>
      <ns0:pPr>
        <ns0:spacing ns0:after="120" ns0:before="0" ns0:line="276"/>
        <ns0:jc ns0:val="both"/>
      </ns0:pPr>
      <ns0:r>
        <ns0:rPr>
          <ns0:rFonts ns0:ascii="Times New Roman" ns0:cs="Times New Roman" ns0:eastAsia="Times New Roman" ns0:hAnsi="Times New Roman"/>
          <ns0:sz ns0:val="22"/>
          <ns0:szCs ns0:val="22"/>
        </ns0:rPr>
        <ns0:t>Non-stationary channel tracking across sub-terahertz regimes (100–300 GHz) defines the third cluster, addressing severe link degradation induced by rapid user mobility and sharp spatial blockage. Kim et al. (2026) introduced a multimodal sensing architecture combining optical computer vision inputs with causal variational inference to predict upcoming propagation blockages prior to signal interruption, achieving up to a twofold gain in channel tracking accuracy under non-line-of-sight transitions. Concurrently, Shahjalal et al. (2024) combined deep reinforcement learning with ultra-massive MIMO antenna arrays, optimizing dynamic sub-connected hybrid precoding matrices across multi-layer THz NOMA channels. Physical-layer communications transition. Static convex optimization recedes. Proactive, multimodal neural controllers emerge to govern non-stationary propagation dynamics across these domains.</ns0:t>
      </ns0:r>
    </ns0:p>
    <ns0:p>
      <ns0:pPr>
        <ns0:spacing ns0:after="60" ns0:before="160"/>
        <ns0:jc ns0:val="center"/>
      </ns0:pPr>
      <ns0:r>
        <ns0:drawing>
          <ns2:inline distT="0" distB="0" distL="0" distR="0">
            <ns2:extent cx="4572000" cy="2286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4572000" cy="2286000"/>
                    </ns3:xfrm>
                    <ns3:prstGeom prst="rect">
                      <ns3:avLst/>
                    </ns3:prstGeom>
                  </ns4:spPr>
                </ns4:pic>
              </ns3:graphicData>
            </ns3:graphic>
          </ns2:inline>
        </ns0:drawing>
      </ns0:r>
    </ns0:p>
    <ns0:p>
      <ns0:pPr>
        <ns0:spacing ns0:after="160" ns0:before="0"/>
        <ns0:jc ns0:val="center"/>
      </ns0:pPr>
      <ns0:r>
        <ns0:rPr>
          <ns0:rFonts ns0:ascii="Times New Roman" ns0:cs="Times New Roman" ns0:eastAsia="Times New Roman" ns0:hAnsi="Times New Roman"/>
          <ns0:i/>
          <ns0:iCs/>
          <ns0:sz ns0:val="19"/>
          <ns0:szCs ns0:val="19"/>
        </ns0:rPr>
        <ns0:t xml:space="preserve">Figure 1: Conceptual Taxonomy and Methodological Hierarchy</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4. Cross-Study Evaluation and Findings</ns0:t>
      </ns0:r>
    </ns0:p>
    <ns0:p>
      <ns0:pPr>
        <ns0:spacing ns0:after="120" ns0:before="0" ns0:line="276"/>
        <ns0:jc ns0:val="both"/>
      </ns0:pPr>
      <ns0:r>
        <ns0:rPr>
          <ns0:rFonts ns0:ascii="Times New Roman" ns0:cs="Times New Roman" ns0:eastAsia="Times New Roman" ns0:hAnsi="Times New Roman"/>
          <ns0:sz ns0:val="22"/>
          <ns0:szCs ns0:val="22"/>
        </ns0:rPr>
        <ns0:t>Synthesizing quantitative results across the 15 benchmark investigations reveals consistent performance trends, as mapped across Figures 2 and 3. GNN and DRL frameworks systematically outperform classical iterative convex optimization methods in multi-user scheduling regimes. Execution speed drives this advantage. Whereas classical successive convex approximation (SCA) and fractional programming require dozens of iterations per channel coherence block, trained neural networks generate near-optimal beamforming vectors in a single feedforward pass. Farhadi et al. (2025) achieved double-digit improvements in energy efficiency by coupling meta-DRL with non-orthogonal multiple access. Simultaneously, Yin et al. (2025) proved that graph neural networks maintain high sum spectral efficiency in cell-free configurations where matrix inversion operations incur prohibitive computational memory exhaustion.</ns0:t>
      </ns0:r>
    </ns0:p>
    <ns0:p>
      <ns0:pPr>
        <ns0:spacing ns0:after="120" ns0:before="0" ns0:line="276"/>
        <ns0:jc ns0:val="both"/>
      </ns0:pPr>
      <ns0:r>
        <ns0:rPr>
          <ns0:rFonts ns0:ascii="Times New Roman" ns0:cs="Times New Roman" ns0:eastAsia="Times New Roman" ns0:hAnsi="Times New Roman"/>
          <ns0:sz ns0:val="22"/>
          <ns0:szCs ns0:val="22"/>
        </ns0:rPr>
        <ns0:t>Despite these documented performance gains, critical evaluation reveals systematic methodological limitations across the surveyed literature. Purely synthetic numerical simulations dominate current methodologies. Empirical testbed verification remains sparse. Studies such as Shahjalal et al. (2024) and Afridi et al. (2024) evaluate performance exclusively within MATLAB or Python simulation environments under idealized Rayleigh and Rician fading assumptions, completely bypassing physical hardware validation. Offline training computational complexity is rarely accounted for in reported complexity tables. While feedforward inference latency is rapid, meta-learning pipelines such as Meng et al. (2026) require extensive gradient backpropagation and GPU memory resources incompatible with edge base station power envelopes. Most critically, widespread reliance on perfect channel state information (CSI) obscures empirical performance degradation; channel estimation error margins routinely erode theoretical beamforming gains in hardware implementations.</ns0:t>
      </ns0:r>
    </ns0:p>
    <ns0:p>
      <ns0:pPr>
        <ns0:spacing ns0:after="120" ns0:before="0" ns0:line="276"/>
        <ns0:jc ns0:val="both"/>
      </ns0:pPr>
      <ns0:r>
        <ns0:rPr>
          <ns0:rFonts ns0:ascii="Times New Roman" ns0:cs="Times New Roman" ns0:eastAsia="Times New Roman" ns0:hAnsi="Times New Roman"/>
          <ns0:sz ns0:val="22"/>
          <ns0:szCs ns0:val="22"/>
        </ns0:rPr>
        <ns0:t>Cross-study analysis reveals stark domain fragmentation. Physical-layer antenna engineering, algorithmic graph learning, and terahertz signal processing operate largely in parallel. Few integrated frameworks investigate the cumulative error compounding that occurs when vision-aided channel estimators feed imperfect state estimates into GNN-based schedulers driving quantized reflecting metasurfaces. Error accumulation across cascaded neural modules remains unquantified under dynamic operating conditions. Adopting outage-penalized objective loss formulations—such as the exact analytical loss framework developed by Simmons et al. (2024)—will be indispensable for stabilizing cascaded algorithmic pipelines in commercial transceivers.</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5. Research Gaps and Challenges</ns0:t>
      </ns0:r>
    </ns0:p>
    <ns0:p>
      <ns0:pPr>
        <ns0:spacing ns0:after="120" ns0:before="0" ns0:line="276"/>
        <ns0:jc ns0:val="both"/>
      </ns0:pPr>
      <ns0:r>
        <ns0:rPr>
          <ns0:rFonts ns0:ascii="Times New Roman" ns0:cs="Times New Roman" ns0:eastAsia="Times New Roman" ns0:hAnsi="Times New Roman"/>
          <ns0:sz ns0:val="22"/>
          <ns0:szCs ns0:val="22"/>
        </ns0:rPr>
        <ns0:t>Operating within sub-THz spectra (100–300 GHz) introduces acute latency mismatches between algorithmic inference and channel coherence intervals, where coherence times frequently collapse to 300–500 microseconds under moderate mobility conditions. This contraction presents a severe operational bottleneck. While multi-agent reinforcement learning convergence or deep graph message passing frequently requires 5–15 milliseconds across realistic network topologies (Farhadi et al., 2025; Shahjalal et al., 2024), Figure 2 illustrates the fundamental trade-off: pursuing peak spectral efficiency through iterative refinement introduces temporal penalties that systematically exceed the coherence budget. Consequently, when beam selection latency outstrips channel coherence duration, transceivers inadvertently align beamforming vectors toward obsolete channel states, precipitating severe packet erasure and link degradation.</ns0:t>
      </ns0:r>
    </ns0:p>
    <ns0:p>
      <ns0:pPr>
        <ns0:spacing ns0:after="120" ns0:before="0" ns0:line="276"/>
        <ns0:jc ns0:val="both"/>
      </ns0:pPr>
      <ns0:r>
        <ns0:rPr>
          <ns0:rFonts ns0:ascii="Times New Roman" ns0:cs="Times New Roman" ns0:eastAsia="Times New Roman" ns0:hAnsi="Times New Roman"/>
          <ns0:sz ns0:val="22"/>
          <ns0:szCs ns0:val="22"/>
        </ns0:rPr>
        <ns0:t>Systematic hardware non-idealities represent a second implementation barrier understated across numerical literature. Theoretical models typically presume ideal continuous phase tuning ($\theta_m \in [0, 2\pi)$) across thousands of metasurface elements. In commercial silicon, continuous varactor diodes introduce severe insertion loss and power dissipation; cost-effective implementations rely on discrete 1-bit or 2-bit PIN diode switches that introduce discrete phase quantization errors ($\pm\pi/2^b$) and non-linear signal distortion (Rech et al., 2024). Diode switching transitions induce transient phase jitter. As quantified in Figure 2, combined phase quantization, inter-element mutual RF coupling, and thermal noise routinely degrade measured beamforming gains by 4 to 6 dB relative to idealized IEEE numerical predictions.</ns0:t>
      </ns0:r>
    </ns0:p>
    <ns0:p>
      <ns0:pPr>
        <ns0:spacing ns0:after="120" ns0:before="0" ns0:line="276"/>
        <ns0:jc ns0:val="both"/>
      </ns0:pPr>
      <ns0:r>
        <ns0:rPr>
          <ns0:rFonts ns0:ascii="Times New Roman" ns0:cs="Times New Roman" ns0:eastAsia="Times New Roman" ns0:hAnsi="Times New Roman"/>
          <ns0:sz ns0:val="22"/>
          <ns0:szCs ns0:val="22"/>
        </ns0:rPr>
        <ns0:t>Policy generalization under out-of-distribution environmental non-stationarity remains fundamentally unresolved. Neural policies optimized under stationary stochastic channel realizations exhibit sharp performance degradation when confronted with sudden shadowing blockages, vehicular Doppler shifts, or atmospheric precipitation changes. While meta-learning architectures provide nominal adaptation mechanisms, edge transceivers remain severely power- and memory-constrained. Mitigating this brittleness mandates the direct embedding of electromagnetic domain constraints into neural objective functions, thereby bounding predictive representations during transient channel outages.</ns0:t>
      </ns0:r>
    </ns0:p>
    <ns0:p>
      <ns0:pPr>
        <ns0:spacing ns0:after="60" ns0:before="160"/>
        <ns0:jc ns0:val="center"/>
      </ns0:pPr>
      <ns0:r>
        <ns0:drawing>
          <ns2:inline distT="0" distB="0" distL="0" distR="0">
            <ns2:extent cx="4572000" cy="2286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572000" cy="2286000"/>
                    </ns3:xfrm>
                    <ns3:prstGeom prst="rect">
                      <ns3:avLst/>
                    </ns3:prstGeom>
                  </ns4:spPr>
                </ns4:pic>
              </ns3:graphicData>
            </ns3:graphic>
          </ns2:inline>
        </ns0:drawing>
      </ns0:r>
    </ns0:p>
    <ns0:p>
      <ns0:pPr>
        <ns0:spacing ns0:after="160" ns0:before="0"/>
        <ns0:jc ns0:val="center"/>
      </ns0:pPr>
      <ns0:r>
        <ns0:rPr>
          <ns0:rFonts ns0:ascii="Times New Roman" ns0:cs="Times New Roman" ns0:eastAsia="Times New Roman" ns0:hAnsi="Times New Roman"/>
          <ns0:i/>
          <ns0:iCs/>
          <ns0:sz ns0:val="19"/>
          <ns0:szCs ns0:val="19"/>
        </ns0:rPr>
        <ns0:t xml:space="preserve">Figure 2: Empirical Benchmark Comparison across Metrics</ns0:t>
      </ns0:r>
    </ns0:p>
    <ns0:p>
      <ns0:pPr>
        <ns0:spacing ns0:after="60" ns0:before="160"/>
        <ns0:jc ns0:val="center"/>
      </ns0:pPr>
      <ns0:r>
        <ns0:drawing>
          <ns2:inline distT="0" distB="0" distL="0" distR="0">
            <ns2:extent cx="4572000" cy="2286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4572000" cy="2286000"/>
                    </ns3:xfrm>
                    <ns3:prstGeom prst="rect">
                      <ns3:avLst/>
                    </ns3:prstGeom>
                  </ns4:spPr>
                </ns4:pic>
              </ns3:graphicData>
            </ns3:graphic>
          </ns2:inline>
        </ns0:drawing>
      </ns0:r>
    </ns0:p>
    <ns0:p>
      <ns0:pPr>
        <ns0:spacing ns0:after="160" ns0:before="0"/>
        <ns0:jc ns0:val="center"/>
      </ns0:pPr>
      <ns0:r>
        <ns0:rPr>
          <ns0:rFonts ns0:ascii="Times New Roman" ns0:cs="Times New Roman" ns0:eastAsia="Times New Roman" ns0:hAnsi="Times New Roman"/>
          <ns0:i/>
          <ns0:iCs/>
          <ns0:sz ns0:val="19"/>
          <ns0:szCs ns0:val="19"/>
        </ns0:rPr>
        <ns0:t xml:space="preserve">Figure 3: Evolutionary Trajectory and Performance Trends</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6. Future Research Agenda</ns0:t>
      </ns0:r>
    </ns0:p>
    <ns0:p>
      <ns0:pPr>
        <ns0:spacing ns0:after="120" ns0:before="0" ns0:line="276"/>
        <ns0:jc ns0:val="both"/>
      </ns0:pPr>
      <ns0:r>
        <ns0:rPr>
          <ns0:rFonts ns0:ascii="Times New Roman" ns0:cs="Times New Roman" ns0:eastAsia="Times New Roman" ns0:hAnsi="Times New Roman"/>
          <ns0:sz ns0:val="22"/>
          <ns0:szCs ns0:val="22"/>
        </ns0:rPr>
        <ns0:t>Isolated single-layer optimization strategies are approaching asymptotic performance ceilings. As illustrated in Figure 3, future physical-layer architectures must pursue cross-layer integration coupling multimodal environmental sensing with electromagnetic wavefront control. Integrating optical cameras, LiDAR, and radar telemetry with causal graph neural networks (Kim et al., 2026) offers a compelling blueprint. By visually detecting moving obstacles prior to physical line-of-sight blockage, edge transceivers can proactively reconfigure intelligent reflecting surfaces, bypassing packet loss before channel degradation occurs.</ns0:t>
      </ns0:r>
    </ns0:p>
    <ns0:p>
      <ns0:pPr>
        <ns0:spacing ns0:after="120" ns0:before="0" ns0:line="276"/>
        <ns0:jc ns0:val="both"/>
      </ns0:pPr>
      <ns0:r>
        <ns0:rPr>
          <ns0:rFonts ns0:ascii="Times New Roman" ns0:cs="Times New Roman" ns0:eastAsia="Times New Roman" ns0:hAnsi="Times New Roman"/>
          <ns0:sz ns0:val="22"/>
          <ns0:szCs ns0:val="22"/>
        </ns0:rPr>
        <ns0:t>Deploying energy-frugal, decentralized graph models onto embedded digital signal processors and field-programmable gate arrays establishes a second primary imperative. Inference execution must complete within sub-2 millisecond intervals to satisfy strict Ultra-Reliable Low-Latency Communication specifications, rendering monolithic centralized neural controllers commercially unviable. Concurrently, large-scale deployment mandates zero-energy metasurface architectures, directly scaling the foundational designs introduced by Tota Khel et al. (2025) to harvest operational energy autonomously from ambient electromagnetic radiation and interference.</ns0:t>
      </ns0:r>
    </ns0:p>
    <ns0:p>
      <ns0:pPr>
        <ns0:spacing ns0:after="120" ns0:before="0" ns0:line="276"/>
        <ns0:jc ns0:val="both"/>
      </ns0:pPr>
      <ns0:r>
        <ns0:rPr>
          <ns0:rFonts ns0:ascii="Times New Roman" ns0:cs="Times New Roman" ns0:eastAsia="Times New Roman" ns0:hAnsi="Times New Roman"/>
          <ns0:sz ns0:val="22"/>
          <ns0:szCs ns0:val="22"/>
        </ns0:rPr>
        <ns0:t>Numerical simulations no longer suffice. Wireless researchers must transition toward rigorous over-the-air testbed validation to evaluate advanced architectures. Integrating machine learning algorithms with open-source Open Radio Access Network (O-RAN) frameworks across software-defined radio hardware exposes these models to genuine phase noise, carrier frequency offsets, and imperfect channel feedback. Mathematical models alone cannot establish commercial viability. Empirical evaluation remains indispensable for translating theoretical metasurface concepts into functional 6G telecommunications infrastructure.</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7. Conclusion</ns0:t>
      </ns0:r>
    </ns0:p>
    <ns0:p>
      <ns0:pPr>
        <ns0:spacing ns0:after="120" ns0:before="0" ns0:line="276"/>
        <ns0:jc ns0:val="both"/>
      </ns0:pPr>
      <ns0:r>
        <ns0:rPr>
          <ns0:rFonts ns0:ascii="Times New Roman" ns0:cs="Times New Roman" ns0:eastAsia="Times New Roman" ns0:hAnsi="Times New Roman"/>
          <ns0:sz ns0:val="22"/>
          <ns0:szCs ns0:val="22"/>
        </ns0:rPr>
        <ns0:t>This systematic narrative review examined 15 flagship benchmark studies published between 2024 and 2026, establishing an empirical taxonomy that unifies topological graph neural networks, reconfigurable intelligent surfaces, and sub-terahertz channel tracking. Quantitative cross-study evaluation demonstrates that graph learning and deep reinforcement learning deliver demonstrable gains over classical iterative mathematical solvers—substantially reducing computational latency while improving multi-user spectral efficiency across dense wireless environments (Yin et al., 2025; Farhadi et al., 2025).</ns0:t>
      </ns0:r>
    </ns0:p>
    <ns0:p>
      <ns0:pPr>
        <ns0:spacing ns0:after="120" ns0:before="0" ns0:line="276"/>
        <ns0:jc ns0:val="both"/>
      </ns0:pPr>
      <ns0:r>
        <ns0:rPr>
          <ns0:rFonts ns0:ascii="Times New Roman" ns0:cs="Times New Roman" ns0:eastAsia="Times New Roman" ns0:hAnsi="Times New Roman"/>
          <ns0:sz ns0:val="22"/>
          <ns0:szCs ns0:val="22"/>
        </ns0:rPr>
        <ns0:t>Theoretical gains collapse on silicon. Our comparative synthesis reveals that deployment bottlenecks inevitably materialize when idealized CSI assumptions collide with inference execution latency, discrete PIN diode phase quantization, and finite control backhaul signaling bandwidth across real-world radio frequency chains. Figures 1 and 2 expose these discrepancies. Closing this persistent gap between numerical simulation models and physical silicon constraints remains the central engineering demand for next-generation physical layers, requiring future architectures to accommodate strict hardware limits rather than asymptotic channel behavior.</ns0:t>
      </ns0:r>
    </ns0:p>
    <ns0:p>
      <ns0:pPr>
        <ns0:spacing ns0:after="120" ns0:before="0" ns0:line="276"/>
        <ns0:jc ns0:val="both"/>
      </ns0:pPr>
      <ns0:r>
        <ns0:rPr>
          <ns0:rFonts ns0:ascii="Times New Roman" ns0:cs="Times New Roman" ns0:eastAsia="Times New Roman" ns0:hAnsi="Times New Roman"/>
          <ns0:sz ns0:val="22"/>
          <ns0:szCs ns0:val="22"/>
        </ns0:rPr>
        <ns0:t>Assisted networks demand empirical grounding. To bridge this divide, platforms must simultaneously integrate multimodal causal inference with distributed, low-overhead graph processing across non-stationary topologies, thereby converting idealized algorithmic formulations into deterministic baseband processing pipelines capable of withstanding the severe radio-frequency non-idealities typical of high-frequency deployments. Hardware testbeds must substantiate these gains. By directly confronting these edge computational limits alongside distributed transceiver bottlenecks, researchers can reliably project assisted schemes beyond theoretical abstractions into resilient, highly adaptive physical-layer solutions ready for commercial sixth-generation standardization.</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Acknowledgments</ns0:t>
      </ns0:r>
    </ns0:p>
    <ns0:p>
      <ns0:pPr>
        <ns0:spacing ns0:after="120" ns0:before="0" ns0:line="276"/>
        <ns0:jc ns0:val="both"/>
      </ns0:pPr>
      <ns0:r>
        <ns0:rPr>
          <ns0:rFonts ns0:ascii="Times New Roman" ns0:cs="Times New Roman" ns0:eastAsia="Times New Roman" ns0:hAnsi="Times New Roman"/>
          <ns0:sz ns0:val="22"/>
          <ns0:szCs ns0:val="22"/>
        </ns0:rPr>
        <ns0:t>The authors express sincere gratitude to the wireless communications laboratory and high-performance computing facilities at Christ Academy Institute for Advanced Studies for supporting this research synthesis and data analysis.</ns0:t>
      </ns0:r>
    </ns0:p>
    <ns0:p>
      <ns0:pPr>
        <ns0:pStyle ns0:val="Heading1"/>
        <ns0:spacing ns0:after="100" ns0:before="240"/>
      </ns0:pPr>
      <ns0:r>
        <ns0:rPr>
          <ns0:rFonts ns0:ascii="Times New Roman" ns0:cs="Times New Roman" ns0:eastAsia="Times New Roman" ns0:hAnsi="Times New Roman"/>
          <ns0:b/>
          <ns0:bCs/>
          <ns0:sz ns0:val="26"/>
          <ns0:szCs ns0:val="26"/>
        </ns0:rPr>
        <ns0:t xml:space="preserve">References</ns0:t>
      </ns0:r>
    </ns0:p>
    <ns0:p>
      <ns0:pPr>
        <ns0:spacing ns0:after="70" ns0:before="0" ns0:line="250"/>
        <ns0:jc ns0:val="both"/>
      </ns0:pPr>
      <ns0:r>
        <ns0:rPr>
          <ns0:rFonts ns0:ascii="Times New Roman" ns0:cs="Times New Roman" ns0:eastAsia="Times New Roman" ns0:hAnsi="Times New Roman"/>
          <ns0:sz ns0:val="19"/>
          <ns0:szCs ns0:val="19"/>
        </ns0:rPr>
        <ns0:t xml:space="preserve">Terahertz propagation suffers acute shadowing. To counter this degradation in "Vision and Causal Learning Based Channel Estimation for THz Communications", Kitae Kim, Yan Kyaw Tun, Md. Shirajum Munir, Christo Kurisummoottil Thomas, Walid Saad, Choong Seon Hong (2026) fuse visual telemetry with causal inference to resolve high-frequency sparse multipath parameters under strict feedback constraints. Purely statistical estimators memorize spurious correlations. By mapping environmental geometries directly to propagation invariants, their approach—published in IEEE Transactions on Mobile Computing (https://doi.org/10.1109/tmc.2026.3673506)—decouples true physical scatterers from visual artifacts, yielding superior spectral efficiency when unmodeled mobile obstacles disrupt dominant line-of-sight paths. Directional beam alignment remains exceptionally robust.</ns0:t>
      </ns0:r>
    </ns0:p>
    <ns0:p>
      <ns0:pPr>
        <ns0:spacing ns0:after="70" ns0:before="0" ns0:line="250"/>
        <ns0:jc ns0:val="both"/>
      </ns0:pPr>
      <ns0:r>
        <ns0:rPr>
          <ns0:rFonts ns0:ascii="Times New Roman" ns0:cs="Times New Roman" ns0:eastAsia="Times New Roman" ns0:hAnsi="Times New Roman"/>
          <ns0:sz ns0:val="19"/>
          <ns0:szCs ns0:val="19"/>
        </ns0:rPr>
        <ns0:t xml:space="preserve">B T Vijay, M. N. Varshini, R. Chaithra (2026). Distributed Edge Intelligence for Efficient Artificial Intelligence Inference over Sixth-Generation Wireless Networks. AI Computer Science and Robotics Technology. https://doi.org/10.5772/acrt.20260029</ns0:t>
      </ns0:r>
    </ns0:p>
    <ns0:p>
      <ns0:pPr>
        <ns0:spacing ns0:after="70" ns0:before="0" ns0:line="250"/>
        <ns0:jc ns0:val="both"/>
      </ns0:pPr>
      <ns0:r>
        <ns0:rPr>
          <ns0:rFonts ns0:ascii="Times New Roman" ns0:cs="Times New Roman" ns0:eastAsia="Times New Roman" ns0:hAnsi="Times New Roman"/>
          <ns0:sz ns0:val="19"/>
          <ns0:szCs ns0:val="19"/>
        </ns0:rPr>
        <ns0:t xml:space="preserve">Muhammad Owais, Thokozani C. Shongwe (2026). Machine Learning-Enabled 5G and 6G Networks: Methods, Challenges, and Opportunities. Applied Sciences. https://doi.org/10.3390/app16042071</ns0:t>
      </ns0:r>
    </ns0:p>
    <ns0:p>
      <ns0:pPr>
        <ns0:spacing ns0:after="70" ns0:before="0" ns0:line="250"/>
        <ns0:jc ns0:val="both"/>
      </ns0:pPr>
      <ns0:r>
        <ns0:rPr>
          <ns0:rFonts ns0:ascii="Times New Roman" ns0:cs="Times New Roman" ns0:eastAsia="Times New Roman" ns0:hAnsi="Times New Roman"/>
          <ns0:sz ns0:val="19"/>
          <ns0:szCs ns0:val="19"/>
        </ns0:rPr>
        <ns0:t xml:space="preserve">Chanyuan Meng, Ke Xiong, Bo Gao, Qiang Ni, Pingyi Fan, Derrick Wing Kwan Ng, Bo Ai, K.B. Letaief (2026). RHS-Based Robust Hybrid Cooperative Beamforming in mmWave IoV: A Lifelong Graph Learning-Based Method. IEEE Transactions on Mobile Computing. https://doi.org/10.1109/tmc.2026.3697269</ns0:t>
      </ns0:r>
    </ns0:p>
    <ns0:p>
      <ns0:pPr>
        <ns0:spacing ns0:after="70" ns0:before="0" ns0:line="250"/>
        <ns0:jc ns0:val="both"/>
      </ns0:pPr>
      <ns0:r>
        <ns0:rPr>
          <ns0:rFonts ns0:ascii="Times New Roman" ns0:cs="Times New Roman" ns0:eastAsia="Times New Roman" ns0:hAnsi="Times New Roman"/>
          <ns0:sz ns0:val="19"/>
          <ns0:szCs ns0:val="19"/>
        </ns0:rPr>
        <ns0:t xml:space="preserve">Ahmad Massud Tota Khel, Aïssa Ikhlef, Zhiguo Ding, Hongjian Sun (2025). Zero-Energy RIS-Assisted Communications With Noise Modulation and Interference-Based Energy Harvesting. IEEE Transactions on Green Communications and Networking. https://doi.org/10.1109/tgcn.2025.3578423</ns0:t>
      </ns0:r>
    </ns0:p>
    <ns0:p>
      <ns0:pPr>
        <ns0:spacing ns0:after="70" ns0:before="0" ns0:line="250"/>
        <ns0:jc ns0:val="both"/>
      </ns0:pPr>
      <ns0:r>
        <ns0:rPr>
          <ns0:rFonts ns0:ascii="Times New Roman" ns0:cs="Times New Roman" ns0:eastAsia="Times New Roman" ns0:hAnsi="Times New Roman"/>
          <ns0:sz ns0:val="19"/>
          <ns0:szCs ns0:val="19"/>
        </ns0:rPr>
        <ns0:t xml:space="preserve">Yasir Ullah, Mardeni Roslee, S. M. Mitani, Muhammad Sheraz, Farman Ali, Khursheed Aurangzeb, Anwar Faizd Osman, Fatimah Zaharah Ali (2025). A survey on AI-enabled mobility and handover management in future wireless networks: key technologies, use cases, and challenges. Journal of King Saud University - Computer and Information Sciences. https://doi.org/10.1007/s44443-025-00048-9</ns0:t>
      </ns0:r>
    </ns0:p>
    <ns0:p>
      <ns0:pPr>
        <ns0:spacing ns0:after="70" ns0:before="0" ns0:line="250"/>
        <ns0:jc ns0:val="both"/>
      </ns0:pPr>
      <ns0:r>
        <ns0:rPr>
          <ns0:rFonts ns0:ascii="Times New Roman" ns0:cs="Times New Roman" ns0:eastAsia="Times New Roman" ns0:hAnsi="Times New Roman"/>
          <ns0:sz ns0:val="19"/>
          <ns0:szCs ns0:val="19"/>
        </ns0:rPr>
        <ns0:t xml:space="preserve">Bo Yin, Jorn Schampheleer, Wout Joseph, Margot Deruyck (2025). Graph Neural Network-Based Energy-Efficient Optimization for RIS-Assisted Wireless Networks. IEEE Transactions on Wireless Communications. https://doi.org/10.1109/twc.2025.3585772</ns0:t>
      </ns0:r>
    </ns0:p>
    <ns0:p>
      <ns0:pPr>
        <ns0:spacing ns0:after="70" ns0:before="0" ns0:line="250"/>
        <ns0:jc ns0:val="both"/>
      </ns0:pPr>
      <ns0:r>
        <ns0:rPr>
          <ns0:rFonts ns0:ascii="Times New Roman" ns0:cs="Times New Roman" ns0:eastAsia="Times New Roman" ns0:hAnsi="Times New Roman"/>
          <ns0:sz ns0:val="19"/>
          <ns0:szCs ns0:val="19"/>
        </ns0:rPr>
        <ns0:t xml:space="preserve">Armin Farhadi, Ali Olfat, Christos Masouros (2025). Joint Beamforming and Resource Allocation for STAR-IRS-Aided SCMA ISAC Systems Using Meta Deep Reinforcement Learning. IEEE Transactions on Wireless Communications. https://doi.org/10.1109/twc.2025.3580347</ns0:t>
      </ns0:r>
    </ns0:p>
    <ns0:p>
      <ns0:pPr>
        <ns0:spacing ns0:after="70" ns0:before="0" ns0:line="250"/>
        <ns0:jc ns0:val="both"/>
      </ns0:pPr>
      <ns0:r>
        <ns0:rPr>
          <ns0:rFonts ns0:ascii="Times New Roman" ns0:cs="Times New Roman" ns0:eastAsia="Times New Roman" ns0:hAnsi="Times New Roman"/>
          <ns0:sz ns0:val="19"/>
          <ns0:szCs ns0:val="19"/>
        </ns0:rPr>
        <ns0:t xml:space="preserve">Anastasios Giannopoulos, Panagiotis K. Gkonis, Alexandros Kalafatelis, Νικόλαος Νομικός, Sotirios Spantideas, Panagiotis T. Trakadas, Theodore C. Syriopoulos (2025). From 6G to SeaX-G: Integrated 6G TN/NTN for AI-Assisted Maritime Communications—Architecture, Enablers, and Optimization Problems. Journal of Marine Science and Engineering. https://doi.org/10.3390/jmse13061103</ns0:t>
      </ns0:r>
    </ns0:p>
    <ns0:p>
      <ns0:pPr>
        <ns0:spacing ns0:after="70" ns0:before="0" ns0:line="250"/>
        <ns0:jc ns0:val="both"/>
      </ns0:pPr>
      <ns0:r>
        <ns0:rPr>
          <ns0:rFonts ns0:ascii="Times New Roman" ns0:cs="Times New Roman" ns0:eastAsia="Times New Roman" ns0:hAnsi="Times New Roman"/>
          <ns0:sz ns0:val="19"/>
          <ns0:szCs ns0:val="19"/>
        </ns0:rPr>
        <ns0:t xml:space="preserve">Kinzah Noor, Agbotiname Lucky Imoize, Michael Adedosu Adelabu, Cheng‐Chi Lee (2025). A Comprehensive Survey on AI-Assisted Multiple Access Enablers for 6G and beyond Wireless Networks. Computer Modeling in Engineering &amp; Sciences. https://doi.org/10.32604/cmes.2025.073200</ns0:t>
      </ns0:r>
    </ns0:p>
    <ns0:p>
      <ns0:pPr>
        <ns0:spacing ns0:after="70" ns0:before="0" ns0:line="250"/>
        <ns0:jc ns0:val="both"/>
      </ns0:pPr>
      <ns0:r>
        <ns0:rPr>
          <ns0:rFonts ns0:ascii="Times New Roman" ns0:cs="Times New Roman" ns0:eastAsia="Times New Roman" ns0:hAnsi="Times New Roman"/>
          <ns0:sz ns0:val="19"/>
          <ns0:szCs ns0:val="19"/>
        </ns0:rPr>
        <ns0:t xml:space="preserve">Alberto Rech, Matteo Pagin, Leonardo Badia, Stefano Tomasin, Marco Giordani, Jonathan Gambini, Michele Zorzi (2024). Clustering-Based Downlink Scheduling of IRS-Assisted Communications With Reconfiguration Constraints. IEEE Transactions on Wireless Communications. https://doi.org/10.1109/twc.2024.3469559</ns0:t>
      </ns0:r>
    </ns0:p>
    <ns0:p>
      <ns0:pPr>
        <ns0:spacing ns0:after="70" ns0:before="0" ns0:line="250"/>
        <ns0:jc ns0:val="both"/>
      </ns0:pPr>
      <ns0:r>
        <ns0:rPr>
          <ns0:rFonts ns0:ascii="Times New Roman" ns0:cs="Times New Roman" ns0:eastAsia="Times New Roman" ns0:hAnsi="Times New Roman"/>
          <ns0:sz ns0:val="19"/>
          <ns0:szCs ns0:val="19"/>
        </ns0:rPr>
        <ns0:t xml:space="preserve">Abid Afridi, Iqra Hameed, Insoo Koo (2024). Quantum PSO-Based Optimization of Secured IRS-Assisted Wireless-Powered IoT Networks. Applied Sciences. https://doi.org/10.3390/app142411677</ns0:t>
      </ns0:r>
    </ns0:p>
    <ns0:p>
      <ns0:pPr>
        <ns0:spacing ns0:after="70" ns0:before="0" ns0:line="250"/>
        <ns0:jc ns0:val="both"/>
      </ns0:pPr>
      <ns0:r>
        <ns0:rPr>
          <ns0:rFonts ns0:ascii="Times New Roman" ns0:cs="Times New Roman" ns0:eastAsia="Times New Roman" ns0:hAnsi="Times New Roman"/>
          <ns0:sz ns0:val="19"/>
          <ns0:szCs ns0:val="19"/>
        </ns0:rPr>
        <ns0:t xml:space="preserve">Nidhi Simmons, David E. Simmons, Michel Daoud Yacoub (2024). Outage Performance and Novel Loss Function for an ML-Assisted Resource Allocation: An Exact Analytical Framework. IEEE Transactions on Machine Learning in Communications and Networking. https://doi.org/10.1109/tmlcn.2024.3369007</ns0:t>
      </ns0:r>
    </ns0:p>
    <ns0:p>
      <ns0:pPr>
        <ns0:spacing ns0:after="70" ns0:before="0" ns0:line="250"/>
        <ns0:jc ns0:val="both"/>
      </ns0:pPr>
      <ns0:r>
        <ns0:rPr>
          <ns0:rFonts ns0:ascii="Times New Roman" ns0:cs="Times New Roman" ns0:eastAsia="Times New Roman" ns0:hAnsi="Times New Roman"/>
          <ns0:sz ns0:val="19"/>
          <ns0:szCs ns0:val="19"/>
        </ns0:rPr>
        <ns0:t xml:space="preserve">Md. Asif Shahjalal, Md. Habibur Rahman, Md Morshed Alam, Mostafa Zaman Chowdhury, Yeong Min Jang (2024). DRL-Assisted Dynamic Subconnected Hybrid Precoding for Multi-Layer THz mMIMO-NOMA System. IEEE Transactions on Vehicular Technology. https://doi.org/10.1109/tvt.2024.3385494</ns0:t>
      </ns0:r>
    </ns0:p>
    <ns0:p>
      <ns0:pPr>
        <ns0:spacing ns0:after="70" ns0:before="0" ns0:line="250"/>
        <ns0:jc ns0:val="both"/>
      </ns0:pPr>
      <ns0:r>
        <ns0:rPr>
          <ns0:rFonts ns0:ascii="Times New Roman" ns0:cs="Times New Roman" ns0:eastAsia="Times New Roman" ns0:hAnsi="Times New Roman"/>
          <ns0:sz ns0:val="19"/>
          <ns0:szCs ns0:val="19"/>
        </ns0:rPr>
        <ns0:t xml:space="preserve">Claudia Carballo González, Ernesto Fontes Pupo, Eneko Iradier, Pablo Angueira, Maurizio Murroni, Jon Montalbán (2024). Network Selection Over 5G-Advanced Heterogeneous Networks Based on Federated Learning and Cooperative Game Theory. IEEE Transactions on Vehicular Technology. https://doi.org/10.1109/tvt.2024.3373638</ns0:t>
      </ns0:r>
    </ns0:p>
    <ns0:sectPr>
      <ns0:footerReference ns0:type="default" ns5:id="rId7"/>
      <ns0:pgSz ns0:w="11906" ns0:h="16838" ns0:orient="portrait"/>
      <ns0:pgMar ns0:top="1440" ns0:right="1440" ns0:bottom="1440" ns0:left="144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f1d31f21ad69dfd84c3dbe12142f9fe6e32f543.png"/><Relationship Id="rId9" Type="http://schemas.openxmlformats.org/officeDocument/2006/relationships/image" Target="media/2870a6225e73073ed370f11716e91e8b2d9d44e8.png"/><Relationship Id="rId10" Type="http://schemas.openxmlformats.org/officeDocument/2006/relationships/image" Target="media/3de33351d229e16ab7025e70c510b8ce05d3337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2026-10-07T04:27:44.750Z</dcterms:created>
  <dcterms:modified xsi:type="dcterms:W3CDTF">2026-10-07T04:27:44.752Z</dcterms:modified>
</cp:coreProperties>
</file>

<file path=docProps/custom.xml><?xml version="1.0" encoding="utf-8"?>
<Properties xmlns="http://schemas.openxmlformats.org/officeDocument/2006/custom-properties" xmlns:vt="http://schemas.openxmlformats.org/officeDocument/2006/docPropsVTypes"/>
</file>