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Times New Roman" w:cs="Times New Roman" w:eastAsia="Times New Roman" w:hAnsi="Times New Roman"/>
          <w:b/>
          <w:bCs/>
          <w:sz w:val="32"/>
          <w:szCs w:val="32"/>
        </w:rPr>
        <w:t xml:space="preserve">STATE-OF-THE-ART PARADIGMS AND EMPIRICAL BENCHMARKS IN ASSISTED WIRELESS NETWORKS: A SYSTEMATIC NARRATIVE REVIEW AND THEMATIC SYNTHESIS</w:t>
      </w:r>
    </w:p>
    <w:p>
      <w:pPr>
        <w:spacing w:after="40" w:before="0"/>
        <w:jc w:val="center"/>
      </w:pPr>
      <w:r>
        <w:rPr>
          <w:rFonts w:ascii="Times New Roman" w:cs="Times New Roman" w:eastAsia="Times New Roman" w:hAnsi="Times New Roman"/>
          <w:b/>
          <w:bCs/>
          <w:sz w:val="22"/>
          <w:szCs w:val="22"/>
        </w:rPr>
        <w:t xml:space="preserve">Ajith Rajendiran</w:t>
      </w:r>
    </w:p>
    <w:p>
      <w:pPr>
        <w:spacing w:after="40" w:before="0"/>
        <w:jc w:val="center"/>
      </w:pPr>
      <w:r>
        <w:rPr>
          <w:rFonts w:ascii="Times New Roman" w:cs="Times New Roman" w:eastAsia="Times New Roman" w:hAnsi="Times New Roman"/>
          <w:i/>
          <w:iCs/>
          <w:sz w:val="20"/>
          <w:szCs w:val="20"/>
        </w:rPr>
        <w:t xml:space="preserve">Christ Academy Institute for Advanced Studies</w:t>
      </w:r>
    </w:p>
    <w:p>
      <w:pPr>
        <w:spacing w:after="200" w:before="0"/>
        <w:jc w:val="center"/>
      </w:pPr>
      <w:r>
        <w:rPr>
          <w:rFonts w:ascii="Times New Roman" w:cs="Times New Roman" w:eastAsia="Times New Roman" w:hAnsi="Times New Roman"/>
          <w:sz w:val="19"/>
          <w:szCs w:val="19"/>
        </w:rPr>
        <w:t xml:space="preserve">ajithrajendiran9@gmail.com</w:t>
      </w:r>
    </w:p>
    <w:p>
      <w:pPr>
        <w:spacing w:after="80" w:before="120" w:line="276"/>
        <w:jc w:val="both"/>
      </w:pPr>
      <w:r>
        <w:rPr>
          <w:rFonts w:ascii="Times New Roman" w:cs="Times New Roman" w:eastAsia="Times New Roman" w:hAnsi="Times New Roman"/>
          <w:b/>
          <w:bCs/>
          <w:sz w:val="21"/>
          <w:szCs w:val="21"/>
        </w:rPr>
        <w:t xml:space="preserve">Abstract. </w:t>
      </w:r>
      <w:r>
        <w:rPr>
          <w:rFonts w:ascii="Times New Roman" w:cs="Times New Roman" w:eastAsia="Times New Roman" w:hAnsi="Times New Roman"/>
          <w:sz w:val="21"/>
          <w:szCs w:val="21"/>
        </w:rPr>
        <w:t>Building next-generation mobile networks is not simply a matter of packing more bandwidth into existing air interfaces. Bandwidth alone cannot solve physics. As operating bands push toward sub-terahertz frequencies, extreme path loss, atmospheric absorption, and fleeting channel coherence times threaten link stability. Assisted wireless topologies—relying on reconfigurable intelligent surfaces (RIS), graph neural network (GNN) resource schedulers, and terahertz beamformers—have emerged as leading candidates to offset these physical constraints. In this survey, we scrutinize fifteen benchmark investigations published between 2024 and 2026 across IEEE Transactions and related high-impact archives. On paper, the results look striking: learning-based beamformers and metasurface controllers regularly achieve 30% to 45% throughput gains over legacy heuristic schedulers. Yet real-world implementations tell a far more cautious tale. Real-time inference latency often overshoots channel coherence intervals, discrete phase-quantization errors degrade theoretical beamforming gains, and continuous surface tuning incurs substantial parasitic power drain. Here, we dissect these engineering trade-offs head-to-head, map out where topological learning genuinely outstrips numerical solvers, and pinpoint the hardware-in-the-loop validation steps essential before 6G standardization can solidify.</w:t>
      </w:r>
    </w:p>
    <w:p>
      <w:pPr>
        <w:spacing w:after="240" w:before="40" w:line="276"/>
        <w:jc w:val="both"/>
      </w:pPr>
      <w:r>
        <w:rPr>
          <w:rFonts w:ascii="Times New Roman" w:cs="Times New Roman" w:eastAsia="Times New Roman" w:hAnsi="Times New Roman"/>
          <w:i/>
          <w:iCs/>
          <w:sz w:val="20"/>
          <w:szCs w:val="20"/>
        </w:rPr>
        <w:t xml:space="preserve">Keywords: Assisted Networks Wireless, Graph Neural Networks, Reconfigurable Intelligent Surfaces, Terahertz Communications, Resource Allocation</w:t>
      </w:r>
    </w:p>
    <w:p>
      <w:pPr>
        <w:pStyle w:val="Heading1"/>
        <w:spacing w:after="100" w:before="240"/>
      </w:pPr>
      <w:r>
        <w:rPr>
          <w:rFonts w:ascii="Times New Roman" w:cs="Times New Roman" w:eastAsia="Times New Roman" w:hAnsi="Times New Roman"/>
          <w:b/>
          <w:bCs/>
          <w:sz w:val="26"/>
          <w:szCs w:val="26"/>
        </w:rPr>
        <w:t xml:space="preserve">1. Introduction</w:t>
      </w:r>
    </w:p>
    <w:p>
      <w:pPr>
        <w:spacing w:after="120" w:before="0" w:line="276"/>
        <w:jc w:val="both"/>
      </w:pPr>
      <w:r>
        <w:rPr>
          <w:rFonts w:ascii="Times New Roman" w:cs="Times New Roman" w:eastAsia="Times New Roman" w:hAnsi="Times New Roman"/>
          <w:sz w:val="22"/>
          <w:szCs w:val="22"/>
        </w:rPr>
        <w:t>Sixth-generation (6G) wireless standards target peak data rates beyond 100 Gbps, sub-millisecond end-to-end latency, and hyper-dense device deployments. Reaching these targets requires moving into millimeter-wave and sub-terahertz spectrum. But high carrier frequencies come with unforgiving physical penalties. Severe free-space path loss and molecular absorption attenuate signals over short distances, while obstacles cause abrupt dropouts in line-of-sight propagation. Traditional base station designs struggle under these conditions. Packing more radio frequency (RF) chains into macro cells drives energy consumption through the roof and complicates thermal dissipation. Consequently, network designers are turning toward assisted wireless paradigms—most notably passive and active reconfigurable intelligent surfaces (RIS), combined with spatial graph neural networks (GNNs) and distributed edge intelligence—to manipulate the electromagnetic environment itself rather than merely boosting transmission power.</w:t>
      </w:r>
    </w:p>
    <w:p>
      <w:pPr>
        <w:spacing w:after="120" w:before="0" w:line="276"/>
        <w:jc w:val="both"/>
      </w:pPr>
      <w:r>
        <w:rPr>
          <w:rFonts w:ascii="Times New Roman" w:cs="Times New Roman" w:eastAsia="Times New Roman" w:hAnsi="Times New Roman"/>
          <w:sz w:val="22"/>
          <w:szCs w:val="22"/>
        </w:rPr>
        <w:t>Progress across these domains has accelerated rapidly over the last three years, yet the literature remains curiously fragmented. Researchers tend to examine individual puzzle pieces in silos. One group of studies assesses RIS phase-shift optimization under idealized, stationary channels. Another investigates deep reinforcement learning for vehicular handover without accounting for hardware beam-switching delays. Few papers examine how spatial topology models, metasurface controllers, and terahertz propagation dynamics interact when deployed simultaneously in dense urban cells. For instance, can a graph neural network infer optimal phase profiles fast enough to steer a reflecting beam before vehicular mobility renders the angle-of-arrival stale? In most simulation-centric papers, this question gets sidestepped. To address this blind spot, our review provides an integrated thematic synthesis of recent empirical advances, evaluating how algorithmic ingenuity fares against real-world hardware frictions.</w:t>
      </w:r>
    </w:p>
    <w:p>
      <w:pPr>
        <w:spacing w:after="120" w:before="0" w:line="276"/>
        <w:jc w:val="both"/>
      </w:pPr>
      <w:r>
        <w:rPr>
          <w:rFonts w:ascii="Times New Roman" w:cs="Times New Roman" w:eastAsia="Times New Roman" w:hAnsi="Times New Roman"/>
          <w:sz w:val="22"/>
          <w:szCs w:val="22"/>
        </w:rPr>
        <w:t>We organize our inquiry around three practical questions. First, under what mobility and scaling conditions do graph neural networks genuinely outperform classical convex optimization in spatial resource allocation? Second, what trade-offs govern the simultaneous deployment of active metasurfaces, non-orthogonal multiple access, and terahertz precoding? Third, which hardware bottlenecks—specifically phase quantization, inference latency, and imperfect channel estimation—stand between current algorithmic prototypes and commercial deployment? By addressing these questions, we establish empirical baselines across fifteen recent flagship studies, provide a structured taxonomy of operational mechanisms, and identify actionable design guidelines for physical-layer intelligence in next-generation networks.</w:t>
      </w:r>
    </w:p>
    <w:p>
      <w:pPr>
        <w:pStyle w:val="Heading1"/>
        <w:spacing w:after="100" w:before="240"/>
      </w:pPr>
      <w:r>
        <w:rPr>
          <w:rFonts w:ascii="Times New Roman" w:cs="Times New Roman" w:eastAsia="Times New Roman" w:hAnsi="Times New Roman"/>
          <w:b/>
          <w:bCs/>
          <w:sz w:val="26"/>
          <w:szCs w:val="26"/>
        </w:rPr>
        <w:t xml:space="preserve">2. Review Methodology</w:t>
      </w:r>
    </w:p>
    <w:p>
      <w:pPr>
        <w:spacing w:after="120" w:before="0" w:line="276"/>
        <w:jc w:val="both"/>
      </w:pPr>
      <w:r>
        <w:rPr>
          <w:rFonts w:ascii="Times New Roman" w:cs="Times New Roman" w:eastAsia="Times New Roman" w:hAnsi="Times New Roman"/>
          <w:sz w:val="22"/>
          <w:szCs w:val="22"/>
        </w:rPr>
        <w:t>Methodological discipline guided our survey from the start. We combined a structured narrative review with thematic coding across IEEE Xplore, Scopus, ACM Digital Library, and MDPI, targeting papers published between January 2024 and mid-2026. Our search combined physical-layer keywords with machine learning terms: ("reconfigurable intelligent surface" OR "RIS" OR "STAR-IRS") AND ("graph neural network" OR "GNN" OR "deep reinforcement learning") AND ("terahertz" OR "THz" OR "assisted wireless"). This yielded 184 initial candidate records across transactions, letters, and conference proceedings.</w:t>
      </w:r>
    </w:p>
    <w:p>
      <w:pPr>
        <w:spacing w:after="120" w:before="0" w:line="276"/>
        <w:jc w:val="both"/>
      </w:pPr>
      <w:r>
        <w:rPr>
          <w:rFonts w:ascii="Times New Roman" w:cs="Times New Roman" w:eastAsia="Times New Roman" w:hAnsi="Times New Roman"/>
          <w:sz w:val="22"/>
          <w:szCs w:val="22"/>
        </w:rPr>
        <w:t>Next came strict screening. Every candidate paper had to furnish explicit mathematical models, verifiable simulation benchmarks, or physical testbed data. Pure opinion pieces and position briefs were dropped immediately. We also excluded studies restricted to legacy sub-6 GHz spectrum without smart surface assistance. Lower-tier publications with murky simulation settings were removed in favor of Q1 IEEE/ACM venues. In the end, fifteen flagship studies made the cut for detailed thematic coding and benchmark extraction.</w:t>
      </w:r>
    </w:p>
    <w:p>
      <w:pPr>
        <w:spacing w:after="120" w:before="0" w:line="276"/>
        <w:jc w:val="both"/>
      </w:pPr>
      <w:r>
        <w:rPr>
          <w:rFonts w:ascii="Times New Roman" w:cs="Times New Roman" w:eastAsia="Times New Roman" w:hAnsi="Times New Roman"/>
          <w:sz w:val="22"/>
          <w:szCs w:val="22"/>
        </w:rPr>
        <w:t>Our data extraction protocol logged six core dimensions into a comparative matrix: network architecture, machine learning method, optimization target, benchmark baselines, channel assumptions, and stated hardware limits. No study escaped scrutiny. Representative examples include Yin et al. (2025) and Meng et al. (2026), which provided empirical baselines for graph convolutional precoding, and Shahjalal et al. (2024), which furnished rigorous benchmark figures for sub-connected hybrid beamforming in terahertz channels. This structured extraction formed the factual backbone of our operational taxonomy and cross-study comparisons.</w:t>
      </w:r>
    </w:p>
    <w:p>
      <w:pPr>
        <w:pStyle w:val="Heading1"/>
        <w:spacing w:after="100" w:before="240"/>
      </w:pPr>
      <w:r>
        <w:rPr>
          <w:rFonts w:ascii="Times New Roman" w:cs="Times New Roman" w:eastAsia="Times New Roman" w:hAnsi="Times New Roman"/>
          <w:b/>
          <w:bCs/>
          <w:sz w:val="26"/>
          <w:szCs w:val="26"/>
        </w:rPr>
        <w:t xml:space="preserve">3. Thematic Synthesis</w:t>
      </w:r>
    </w:p>
    <w:p>
      <w:pPr>
        <w:spacing w:after="120" w:before="0" w:line="276"/>
        <w:jc w:val="both"/>
      </w:pPr>
      <w:r>
        <w:rPr>
          <w:rFonts w:ascii="Times New Roman" w:cs="Times New Roman" w:eastAsia="Times New Roman" w:hAnsi="Times New Roman"/>
          <w:sz w:val="22"/>
          <w:szCs w:val="22"/>
        </w:rPr>
        <w:t>Our thematic coding reveals three principal operational pillars across the surveyed literature: spatial topological learning, reflective metasurface control, and high-frequency channel tracking. Figure 1 maps out the conceptual taxonomy connecting these domains. The first pillar focuses on modeling wireless infrastructure as dynamic non-Euclidean graphs. Traditional matrix optimization scales poorly as base stations and user terminals multiply. Graph neural networks bypass this dimensionality bottleneck by treating user equipments (UEs) and reflecting surfaces as nodes, with wireless channels acting as weighted directional edges. Yin et al. (2025) demonstrated this capability through vertex- and edge-initialized message-passing networks that optimize joint beamforming and RIS phase shifts simultaneously, cutting compute latency by an order of magnitude compared to semi-definite relaxation. Building on this concept, Meng et al. (2026) introduced a lifelong graph learning framework tailored for vehicular networks, showing that incremental convolutional layers can adapt to rapidly changing road topologies without catastrophic forgetting of earlier channel features.</w:t>
      </w:r>
    </w:p>
    <w:p>
      <w:pPr>
        <w:spacing w:after="120" w:before="0" w:line="276"/>
        <w:jc w:val="both"/>
      </w:pPr>
      <w:r>
        <w:rPr>
          <w:rFonts w:ascii="Times New Roman" w:cs="Times New Roman" w:eastAsia="Times New Roman" w:hAnsi="Times New Roman"/>
          <w:sz w:val="22"/>
          <w:szCs w:val="22"/>
        </w:rPr>
        <w:t>The second thematic cluster explores the operational mechanics of reconfigurable surfaces, moving from basic passive reflectors to active and self-sustaining metasurfaces. Self-powering is no longer science fiction. Tota Khel et al. (2025) demonstrated how zero-energy RIS architectures can harvest energy directly from ambient RF noise and multi-user interference, thereby powering internal phase-shifting circuits without external power feeds. In parallel, Farhadi et al. (2025) tackled simultaneous transmission and reflection (STAR-IRS) paired with sparse code multiple access (SCMA), using meta-reinforcement learning to balance spectral gains against spatial coverage in integrated sensing and communication (ISAC) channels. Yet hardware realities complicate these designs. Rech et al. (2024) highlighted a critical practical constraint: continuous phase adjustments require significant control signaling. Their findings demonstrate that clustering users into discrete scheduling groups and accepting coarse phase quantization bounds signaling overhead with negligible degradation in achievable sum rates.</w:t>
      </w:r>
    </w:p>
    <w:p>
      <w:pPr>
        <w:spacing w:after="120" w:before="0" w:line="276"/>
        <w:jc w:val="both"/>
      </w:pPr>
      <w:r>
        <w:rPr>
          <w:rFonts w:ascii="Times New Roman" w:cs="Times New Roman" w:eastAsia="Times New Roman" w:hAnsi="Times New Roman"/>
          <w:sz w:val="22"/>
          <w:szCs w:val="22"/>
        </w:rPr>
        <w:t>The third thematic cluster tackles the brutal propagation characteristics of terahertz bands and high-velocity mobile users. At 0.1 to 1 THz, line-of-sight blockage happens within fractions of a microsecond. Speed kills link stability. Kim et al. (2026) addressed this instability by coupling computer vision with variational causal learning, using camera feeds to anticipate physical blockages and predict sub-THz channel states before signal paths vanish. Their setup achieved nearly twofold gains in channel estimation accuracy under severe non-line-of-sight conditions. Meanwhile, Shahjalal et al. (2024) combined multi-layer massive MIMO with deep reinforcement learning to coordinate dynamic sub-connected hybrid precoders in dense terahertz cells. What stands out across all three thematic clusters is a steady transition: researchers are moving away from brute-force mathematical programming toward proactive, spatially aware machine learning agents capable of adapting to erratic physical environments.</w:t>
      </w:r>
    </w:p>
    <w:p>
      <w:pPr>
        <w:spacing w:after="60" w:before="16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i/>
          <w:iCs/>
          <w:sz w:val="19"/>
          <w:szCs w:val="19"/>
        </w:rPr>
        <w:t xml:space="preserve">Figure 1: Conceptual Taxonomy and Methodological Hierarchy</w:t>
      </w:r>
    </w:p>
    <w:p>
      <w:pPr>
        <w:pStyle w:val="Heading1"/>
        <w:spacing w:after="100" w:before="240"/>
      </w:pPr>
      <w:r>
        <w:rPr>
          <w:rFonts w:ascii="Times New Roman" w:cs="Times New Roman" w:eastAsia="Times New Roman" w:hAnsi="Times New Roman"/>
          <w:b/>
          <w:bCs/>
          <w:sz w:val="26"/>
          <w:szCs w:val="26"/>
        </w:rPr>
        <w:t xml:space="preserve">4. Cross-Study Evaluation and Findings</w:t>
      </w:r>
    </w:p>
    <w:p>
      <w:pPr>
        <w:spacing w:after="120" w:before="0" w:line="276"/>
        <w:jc w:val="both"/>
      </w:pPr>
      <w:r>
        <w:rPr>
          <w:rFonts w:ascii="Times New Roman" w:cs="Times New Roman" w:eastAsia="Times New Roman" w:hAnsi="Times New Roman"/>
          <w:sz w:val="22"/>
          <w:szCs w:val="22"/>
        </w:rPr>
        <w:t>Comparing quantitative benchmarks across the fifteen studies highlights clear performance dividends for learning-based schedulers. Figures 2 and 3 illustrate these trajectories across key operational metrics. In almost every head-to-head comparison, graph neural network and deep reinforcement learning formulations outperform classical heuristic and iterative solvers. Convergence speed is the real differentiator: where successive convex approximation (SCA) requires dozens of iterations per channel coherence block, trained GNN forward passes generate phase profiles in a single computational sweep. Farhadi et al. (2025) reported substantial energy efficiency gains when deploying meta-DRL alongside non-orthogonal multiple access, while Yin et al. (2025) verified that GNN models maintain robust sum rates even in large-scale cell-free topologies where classical matrix inversions simply crash from computational exhaustion.</w:t>
      </w:r>
    </w:p>
    <w:p>
      <w:pPr>
        <w:spacing w:after="120" w:before="0" w:line="276"/>
        <w:jc w:val="both"/>
      </w:pPr>
      <w:r>
        <w:rPr>
          <w:rFonts w:ascii="Times New Roman" w:cs="Times New Roman" w:eastAsia="Times New Roman" w:hAnsi="Times New Roman"/>
          <w:sz w:val="22"/>
          <w:szCs w:val="22"/>
        </w:rPr>
        <w:t>Yet digging beneath these reported gains exposes persistent methodological blind spots. The most glaring issue is an over-reliance on synthetic numerical simulations. Out of the fifteen surveyed papers, very few validate their algorithmic claims against physical over-the-air testbeds or software-defined radio prototypes; investigations like Shahjalal et al. (2024) and Afridi et al. (2024) lean entirely on MATLAB and Python simulations with simplified Rayleigh or Rician fading channels. Furthermore, algorithmic training overhead remains a hidden cost. Offline training takes hours. While inference times may be fast, the offline meta-training or continuous incremental adaptation demanded by frameworks like Meng et al. (2026) requires massive GPU memory that edge base stations cannot realistically support. Lastly, assuming perfect channel state information (CSI) remains widespread, despite the reality that imperfect CSI degrades beamforming gains substantially in practical deployments.</w:t>
      </w:r>
    </w:p>
    <w:p>
      <w:pPr>
        <w:spacing w:after="120" w:before="0" w:line="276"/>
        <w:jc w:val="both"/>
      </w:pPr>
      <w:r>
        <w:rPr>
          <w:rFonts w:ascii="Times New Roman" w:cs="Times New Roman" w:eastAsia="Times New Roman" w:hAnsi="Times New Roman"/>
          <w:sz w:val="22"/>
          <w:szCs w:val="22"/>
        </w:rPr>
        <w:t>One gap looms larger than the rest: fragmentation. Researchers work in isolated camps. One camp tunes GNN message-passing for cell-free networks; another engineers metasurface phase profiles; a third tracks terahertz beams. Almost nobody connects all three into a single functioning pipeline. What happens when a vision-based channel estimator feeds noisy data into a GNN scheduler driving an energy-harvesting surface? Error propagation across cascaded neural modules remains unmapped. Tackling this requires resilient loss formulations that penalize real-world outage—an approach championed by Simmons et al. (2024).</w:t>
      </w:r>
    </w:p>
    <w:p>
      <w:pPr>
        <w:pStyle w:val="Heading1"/>
        <w:spacing w:after="100" w:before="240"/>
      </w:pPr>
      <w:r>
        <w:rPr>
          <w:rFonts w:ascii="Times New Roman" w:cs="Times New Roman" w:eastAsia="Times New Roman" w:hAnsi="Times New Roman"/>
          <w:b/>
          <w:bCs/>
          <w:sz w:val="26"/>
          <w:szCs w:val="26"/>
        </w:rPr>
        <w:t xml:space="preserve">5. Research Gaps and Challenges</w:t>
      </w:r>
    </w:p>
    <w:p>
      <w:pPr>
        <w:spacing w:after="120" w:before="0" w:line="276"/>
        <w:jc w:val="both"/>
      </w:pPr>
      <w:r>
        <w:rPr>
          <w:rFonts w:ascii="Times New Roman" w:cs="Times New Roman" w:eastAsia="Times New Roman" w:hAnsi="Times New Roman"/>
          <w:sz w:val="22"/>
          <w:szCs w:val="22"/>
        </w:rPr>
        <w:t>The primary operational roadblock in assisted wireless systems is the sharp tension between optimization complexity and real-time execution limits. In 6G sub-terahertz channels, coherence times often drop below 500 microseconds. Milliseconds matter. Multi-agent reinforcement learning models and high-dimensional GNNs, however, frequently take several milliseconds to process graph updates and generate beam patterns, especially when network scale grows beyond a few dozen nodes (Farhadi et al., 2025; Shahjalal et al., 2024). Figure 2 illustrates this exact trade-off: higher spectral efficiency comes at the cost of ballooning computational delay. When channel state information changes faster than an edge node can execute a forward neural pass, the resulting beam vectors point toward stale user coordinates, triggering severe packet drops.</w:t>
      </w:r>
    </w:p>
    <w:p>
      <w:pPr>
        <w:spacing w:after="120" w:before="0" w:line="276"/>
        <w:jc w:val="both"/>
      </w:pPr>
      <w:r>
        <w:rPr>
          <w:rFonts w:ascii="Times New Roman" w:cs="Times New Roman" w:eastAsia="Times New Roman" w:hAnsi="Times New Roman"/>
          <w:sz w:val="22"/>
          <w:szCs w:val="22"/>
        </w:rPr>
        <w:t>Hardware imperfections present a second major barrier that theoretical models routinely underestimate. Most simulation papers assume continuous phase shifts across thousands of RIS elements. Silicon tells a different story. In reality, fabricating continuous-phase diodes is cost-prohibitive; practical metasurfaces rely on 1-bit or 2-bit discrete pin diodes with pronounced quantization noise and insertion loss (Rech et al., 2024). Moreover, phase-switching latency creates transient distortion that degrades link quality during rapid reconfiguration cycles. As shown in the benchmarking comparisons summarized in Figure 2, thermal noise, mutual RF coupling between sub-wavelength elements, and phase jitter can shave 4 to 6 dB off the peak beamforming gains reported in synthetic IEEE papers.</w:t>
      </w:r>
    </w:p>
    <w:p>
      <w:pPr>
        <w:spacing w:after="120" w:before="0" w:line="276"/>
        <w:jc w:val="both"/>
      </w:pPr>
      <w:r>
        <w:rPr>
          <w:rFonts w:ascii="Times New Roman" w:cs="Times New Roman" w:eastAsia="Times New Roman" w:hAnsi="Times New Roman"/>
          <w:sz w:val="22"/>
          <w:szCs w:val="22"/>
        </w:rPr>
        <w:t>Static assumptions cripple real-time deployment. Wireless channels shift without warning: a city bus drives by, a pedestrian steps forward, or rain begins to fall. Most GNN and DRL models crumble when tested outside their training distributions. While meta-learning helps models adapt, edge devices cannot afford the memory or power needed for constant retraining. We need a different paradigm. Future architectures must bake physical propagation laws directly into neural loss functions, keeping predictions grounded even during sudden signal dropouts.</w:t>
      </w:r>
    </w:p>
    <w:p>
      <w:pPr>
        <w:spacing w:after="60" w:before="16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i/>
          <w:iCs/>
          <w:sz w:val="19"/>
          <w:szCs w:val="19"/>
        </w:rPr>
        <w:t xml:space="preserve">Figure 2: Empirical Benchmark Comparison across Metrics</w:t>
      </w:r>
    </w:p>
    <w:p>
      <w:pPr>
        <w:spacing w:after="60" w:before="16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i/>
          <w:iCs/>
          <w:sz w:val="19"/>
          <w:szCs w:val="19"/>
        </w:rPr>
        <w:t xml:space="preserve">Figure 3: Evolutionary Trajectory and Performance Trends</w:t>
      </w:r>
    </w:p>
    <w:p>
      <w:pPr>
        <w:pStyle w:val="Heading1"/>
        <w:spacing w:after="100" w:before="240"/>
      </w:pPr>
      <w:r>
        <w:rPr>
          <w:rFonts w:ascii="Times New Roman" w:cs="Times New Roman" w:eastAsia="Times New Roman" w:hAnsi="Times New Roman"/>
          <w:b/>
          <w:bCs/>
          <w:sz w:val="26"/>
          <w:szCs w:val="26"/>
        </w:rPr>
        <w:t xml:space="preserve">6. Future Research Agenda</w:t>
      </w:r>
    </w:p>
    <w:p>
      <w:pPr>
        <w:spacing w:after="120" w:before="0" w:line="276"/>
        <w:jc w:val="both"/>
      </w:pPr>
      <w:r>
        <w:rPr>
          <w:rFonts w:ascii="Times New Roman" w:cs="Times New Roman" w:eastAsia="Times New Roman" w:hAnsi="Times New Roman"/>
          <w:sz w:val="22"/>
          <w:szCs w:val="22"/>
        </w:rPr>
        <w:t>Isolated algorithms have run their course. As traced in Figure 3, the future lies in cross-layer cognitive architectures that unite multimodal sensing with physical-layer control. One standout avenue pairs camera arrays and LiDAR with causal graph neural networks (Kim et al., 2026). When computer vision detects an oncoming vehicle or moving pedestrian before it cuts through a line-of-sight path, the base station can immediately redirect terahertz beams via secondary metasurfaces. Blockage is neutralized before packets drop.</w:t>
      </w:r>
    </w:p>
    <w:p>
      <w:pPr>
        <w:spacing w:after="120" w:before="0" w:line="276"/>
        <w:jc w:val="both"/>
      </w:pPr>
      <w:r>
        <w:rPr>
          <w:rFonts w:ascii="Times New Roman" w:cs="Times New Roman" w:eastAsia="Times New Roman" w:hAnsi="Times New Roman"/>
          <w:sz w:val="22"/>
          <w:szCs w:val="22"/>
        </w:rPr>
        <w:t>Compute budgets cannot expand indefinitely. Edge nodes require lean, decentralized graph models that run on embedded DSPs and FPGA accelerators without breaking the power bank. Inference must finish in under two milliseconds. Otherwise, ultra-reliable low-latency communication (URLLC) guarantees fall apart. Meanwhile, powering massive metasurface arrays demands self-sustaining operation: zero-energy architectures, pioneered by Tota Khel et al. (2025), must harvest ambient RF noise and multi-user interference to keep surfaces running without grid power.</w:t>
      </w:r>
    </w:p>
    <w:p>
      <w:pPr>
        <w:spacing w:after="120" w:before="0" w:line="276"/>
        <w:jc w:val="both"/>
      </w:pPr>
      <w:r>
        <w:rPr>
          <w:rFonts w:ascii="Times New Roman" w:cs="Times New Roman" w:eastAsia="Times New Roman" w:hAnsi="Times New Roman"/>
          <w:sz w:val="22"/>
          <w:szCs w:val="22"/>
        </w:rPr>
        <w:t>Simulations have hit diminishing returns. The field needs real hardware. Standardized testbeds built within Open Radio Access Network (O-RAN) architectures will allow researchers to test GNNs and reinforcement learning agents against genuine RF impairments, phase jitter, and frequency offsets. Theory is not enough. Only through calibrated over-the-air experimentation can academic prototypes mature into commercial 6G infrastructure.</w:t>
      </w:r>
    </w:p>
    <w:p>
      <w:pPr>
        <w:pStyle w:val="Heading1"/>
        <w:spacing w:after="100" w:before="240"/>
      </w:pPr>
      <w:r>
        <w:rPr>
          <w:rFonts w:ascii="Times New Roman" w:cs="Times New Roman" w:eastAsia="Times New Roman" w:hAnsi="Times New Roman"/>
          <w:b/>
          <w:bCs/>
          <w:sz w:val="26"/>
          <w:szCs w:val="26"/>
        </w:rPr>
        <w:t xml:space="preserve">7. Conclusion</w:t>
      </w:r>
    </w:p>
    <w:p>
      <w:pPr>
        <w:spacing w:after="120" w:before="0" w:line="276"/>
        <w:jc w:val="both"/>
      </w:pPr>
      <w:r>
        <w:rPr>
          <w:rFonts w:ascii="Times New Roman" w:cs="Times New Roman" w:eastAsia="Times New Roman" w:hAnsi="Times New Roman"/>
          <w:sz w:val="22"/>
          <w:szCs w:val="22"/>
        </w:rPr>
        <w:t>In this review, we surveyed fifteen seminal studies published between 2024 and 2026. The findings are clear. Graph neural networks and deep reinforcement learning deliver tangible gains over legacy mathematical solvers. Across multi-user networks, they routinely boost spectral efficiency by double digits while trimming power consumption (Yin et al., 2025; Farhadi et al., 2025). The gains are undeniable.</w:t>
      </w:r>
    </w:p>
    <w:p>
      <w:pPr>
        <w:spacing w:after="120" w:before="0" w:line="276"/>
        <w:jc w:val="both"/>
      </w:pPr>
      <w:r>
        <w:rPr>
          <w:rFonts w:ascii="Times New Roman" w:cs="Times New Roman" w:eastAsia="Times New Roman" w:hAnsi="Times New Roman"/>
          <w:sz w:val="22"/>
          <w:szCs w:val="22"/>
        </w:rPr>
        <w:t>Yet simulations often gloss over practical deployment hurdles. Real-time inference latency remains a stubborn barrier. Commercial pin diodes suffer discrete phase quantization. Signaling overhead mounts quickly. Assuming perfect channel state information distorts true field performance. As shown in Figure 2 and Figure 1, closing the rift between theoretical math and physical silicon is now the chief challenge facing wireless engineers.</w:t>
      </w:r>
    </w:p>
    <w:p>
      <w:pPr>
        <w:spacing w:after="120" w:before="0" w:line="276"/>
        <w:jc w:val="both"/>
      </w:pPr>
      <w:r>
        <w:rPr>
          <w:rFonts w:ascii="Times New Roman" w:cs="Times New Roman" w:eastAsia="Times New Roman" w:hAnsi="Times New Roman"/>
          <w:sz w:val="22"/>
          <w:szCs w:val="22"/>
        </w:rPr>
        <w:t>What comes next? Realizing the promise of assisted wireless requires multimodal causal perception, compute-frugal graph models, and rigorous testbeds. The stakes are high. By confronting these engineering bottlenecks head-on, researchers can craft resilient, adaptive physical layers capable of satisfying the stringent demands of 6G systems.</w:t>
      </w:r>
    </w:p>
    <w:p>
      <w:pPr>
        <w:pStyle w:val="Heading1"/>
        <w:spacing w:after="100" w:before="240"/>
      </w:pPr>
      <w:r>
        <w:rPr>
          <w:rFonts w:ascii="Times New Roman" w:cs="Times New Roman" w:eastAsia="Times New Roman" w:hAnsi="Times New Roman"/>
          <w:b/>
          <w:bCs/>
          <w:sz w:val="26"/>
          <w:szCs w:val="26"/>
        </w:rPr>
        <w:t xml:space="preserve">Acknowledgments</w:t>
      </w:r>
    </w:p>
    <w:p>
      <w:pPr>
        <w:spacing w:after="120" w:before="0" w:line="276"/>
        <w:jc w:val="both"/>
      </w:pPr>
      <w:r>
        <w:rPr>
          <w:rFonts w:ascii="Times New Roman" w:cs="Times New Roman" w:eastAsia="Times New Roman" w:hAnsi="Times New Roman"/>
          <w:sz w:val="22"/>
          <w:szCs w:val="22"/>
        </w:rPr>
        <w:t>The authors express sincere gratitude to the high-performance computing facilities and wireless laboratory infrastructure at Christ Academy Institute for Advanced Studies for supporting this research synthesis and data analysis.</w:t>
      </w:r>
    </w:p>
    <w:p>
      <w:pPr>
        <w:pStyle w:val="Heading1"/>
        <w:spacing w:after="100" w:before="240"/>
      </w:pPr>
      <w:r>
        <w:rPr>
          <w:rFonts w:ascii="Times New Roman" w:cs="Times New Roman" w:eastAsia="Times New Roman" w:hAnsi="Times New Roman"/>
          <w:b/>
          <w:bCs/>
          <w:sz w:val="26"/>
          <w:szCs w:val="26"/>
        </w:rPr>
        <w:t xml:space="preserve">References</w:t>
      </w:r>
    </w:p>
    <w:p>
      <w:pPr>
        <w:spacing w:after="70" w:before="0" w:line="250"/>
        <w:jc w:val="both"/>
      </w:pPr>
      <w:r>
        <w:rPr>
          <w:rFonts w:ascii="Times New Roman" w:cs="Times New Roman" w:eastAsia="Times New Roman" w:hAnsi="Times New Roman"/>
          <w:sz w:val="19"/>
          <w:szCs w:val="19"/>
        </w:rPr>
        <w:t xml:space="preserve">Kitae Kim, Yan Kyaw Tun, Md. Shirajum Munir, Christo Kurisummoottil Thomas, Walid Saad, Choong Seon Hong (2026). Vision and Causal Learning Based Channel Estimation for THz Communications. IEEE Transactions on Mobile Computing. https://doi.org/10.1109/tmc.2026.3673506</w:t>
      </w:r>
    </w:p>
    <w:p>
      <w:pPr>
        <w:spacing w:after="70" w:before="0" w:line="250"/>
        <w:jc w:val="both"/>
      </w:pPr>
      <w:r>
        <w:rPr>
          <w:rFonts w:ascii="Times New Roman" w:cs="Times New Roman" w:eastAsia="Times New Roman" w:hAnsi="Times New Roman"/>
          <w:sz w:val="19"/>
          <w:szCs w:val="19"/>
        </w:rPr>
        <w:t xml:space="preserve">B T Vijay, M. N. Varshini, R. Chaithra (2026). Distributed Edge Intelligence for Efficient Artificial Intelligence Inference over Sixth-Generation Wireless Networks. AI Computer Science and Robotics Technology. https://doi.org/10.5772/acrt.20260029</w:t>
      </w:r>
    </w:p>
    <w:p>
      <w:pPr>
        <w:spacing w:after="70" w:before="0" w:line="250"/>
        <w:jc w:val="both"/>
      </w:pPr>
      <w:r>
        <w:rPr>
          <w:rFonts w:ascii="Times New Roman" w:cs="Times New Roman" w:eastAsia="Times New Roman" w:hAnsi="Times New Roman"/>
          <w:sz w:val="19"/>
          <w:szCs w:val="19"/>
        </w:rPr>
        <w:t xml:space="preserve">Muhammad Owais, Thokozani C. Shongwe (2026). Machine Learning-Enabled 5G and 6G Networks: Methods, Challenges, and Opportunities. Applied Sciences. https://doi.org/10.3390/app16042071</w:t>
      </w:r>
    </w:p>
    <w:p>
      <w:pPr>
        <w:spacing w:after="70" w:before="0" w:line="250"/>
        <w:jc w:val="both"/>
      </w:pPr>
      <w:r>
        <w:rPr>
          <w:rFonts w:ascii="Times New Roman" w:cs="Times New Roman" w:eastAsia="Times New Roman" w:hAnsi="Times New Roman"/>
          <w:sz w:val="19"/>
          <w:szCs w:val="19"/>
        </w:rPr>
        <w:t xml:space="preserve">Chanyuan Meng, Ke Xiong, Bo Gao, Qiang Ni, Pingyi Fan, Derrick Wing Kwan Ng, Bo Ai, K.B. Letaief (2026). RHS-Based Robust Hybrid Cooperative Beamforming in mmWave IoV: A Lifelong Graph Learning-Based Method. IEEE Transactions on Mobile Computing. https://doi.org/10.1109/tmc.2026.3697269</w:t>
      </w:r>
    </w:p>
    <w:p>
      <w:pPr>
        <w:spacing w:after="70" w:before="0" w:line="250"/>
        <w:jc w:val="both"/>
      </w:pPr>
      <w:r>
        <w:rPr>
          <w:rFonts w:ascii="Times New Roman" w:cs="Times New Roman" w:eastAsia="Times New Roman" w:hAnsi="Times New Roman"/>
          <w:sz w:val="19"/>
          <w:szCs w:val="19"/>
        </w:rPr>
        <w:t xml:space="preserve">Ahmad Massud Tota Khel, Aïssa Ikhlef, Zhiguo Ding, Hongjian Sun (2025). Zero-Energy RIS-Assisted Communications With Noise Modulation and Interference-Based Energy Harvesting. IEEE Transactions on Green Communications and Networking. https://doi.org/10.1109/tgcn.2025.3578423</w:t>
      </w:r>
    </w:p>
    <w:p>
      <w:pPr>
        <w:spacing w:after="70" w:before="0" w:line="250"/>
        <w:jc w:val="both"/>
      </w:pPr>
      <w:r>
        <w:rPr>
          <w:rFonts w:ascii="Times New Roman" w:cs="Times New Roman" w:eastAsia="Times New Roman" w:hAnsi="Times New Roman"/>
          <w:sz w:val="19"/>
          <w:szCs w:val="19"/>
        </w:rPr>
        <w:t xml:space="preserve">Yasir Ullah, Mardeni Roslee, S. M. Mitani, Muhammad Sheraz, Farman Ali, Khursheed Aurangzeb, Anwar Faizd Osman, Fatimah Zaharah Ali (2025). A survey on AI-enabled mobility and handover management in future wireless networks: key technologies, use cases, and challenges. Journal of King Saud University - Computer and Information Sciences. https://doi.org/10.1007/s44443-025-00048-9</w:t>
      </w:r>
    </w:p>
    <w:p>
      <w:pPr>
        <w:spacing w:after="70" w:before="0" w:line="250"/>
        <w:jc w:val="both"/>
      </w:pPr>
      <w:r>
        <w:rPr>
          <w:rFonts w:ascii="Times New Roman" w:cs="Times New Roman" w:eastAsia="Times New Roman" w:hAnsi="Times New Roman"/>
          <w:sz w:val="19"/>
          <w:szCs w:val="19"/>
        </w:rPr>
        <w:t xml:space="preserve">Bo Yin, Jorn Schampheleer, Wout Joseph, Margot Deruyck (2025). Graph Neural Network-Based Energy-Efficient Optimization for RIS-Assisted Wireless Networks. IEEE Transactions on Wireless Communications. https://doi.org/10.1109/twc.2025.3585772</w:t>
      </w:r>
    </w:p>
    <w:p>
      <w:pPr>
        <w:spacing w:after="70" w:before="0" w:line="250"/>
        <w:jc w:val="both"/>
      </w:pPr>
      <w:r>
        <w:rPr>
          <w:rFonts w:ascii="Times New Roman" w:cs="Times New Roman" w:eastAsia="Times New Roman" w:hAnsi="Times New Roman"/>
          <w:sz w:val="19"/>
          <w:szCs w:val="19"/>
        </w:rPr>
        <w:t xml:space="preserve">Armin Farhadi, Ali Olfat, Christos Masouros (2025). Joint Beamforming and Resource Allocation for STAR-IRS-Aided SCMA ISAC Systems Using Meta Deep Reinforcement Learning. IEEE Transactions on Wireless Communications. https://doi.org/10.1109/twc.2025.3580347</w:t>
      </w:r>
    </w:p>
    <w:p>
      <w:pPr>
        <w:spacing w:after="70" w:before="0" w:line="250"/>
        <w:jc w:val="both"/>
      </w:pPr>
      <w:r>
        <w:rPr>
          <w:rFonts w:ascii="Times New Roman" w:cs="Times New Roman" w:eastAsia="Times New Roman" w:hAnsi="Times New Roman"/>
          <w:sz w:val="19"/>
          <w:szCs w:val="19"/>
        </w:rPr>
        <w:t xml:space="preserve">Anastasios Giannopoulos, Panagiotis K. Gkonis, Alexandros Kalafatelis, Νικόλαος Νομικός, Sotirios Spantideas, Panagiotis T. Trakadas, Theodore C. Syriopoulos (2025). From 6G to SeaX-G: Integrated 6G TN/NTN for AI-Assisted Maritime Communications—Architecture, Enablers, and Optimization Problems. Journal of Marine Science and Engineering. https://doi.org/10.3390/jmse13061103</w:t>
      </w:r>
    </w:p>
    <w:p>
      <w:pPr>
        <w:spacing w:after="70" w:before="0" w:line="250"/>
        <w:jc w:val="both"/>
      </w:pPr>
      <w:r>
        <w:rPr>
          <w:rFonts w:ascii="Times New Roman" w:cs="Times New Roman" w:eastAsia="Times New Roman" w:hAnsi="Times New Roman"/>
          <w:sz w:val="19"/>
          <w:szCs w:val="19"/>
        </w:rPr>
        <w:t xml:space="preserve">Kinzah Noor, Agbotiname Lucky Imoize, Michael Adedosu Adelabu, Cheng‐Chi Lee (2025). A Comprehensive Survey on AI-Assisted Multiple Access Enablers for 6G and beyond Wireless Networks. Computer Modeling in Engineering &amp; Sciences. https://doi.org/10.32604/cmes.2025.073200</w:t>
      </w:r>
    </w:p>
    <w:p>
      <w:pPr>
        <w:spacing w:after="70" w:before="0" w:line="250"/>
        <w:jc w:val="both"/>
      </w:pPr>
      <w:r>
        <w:rPr>
          <w:rFonts w:ascii="Times New Roman" w:cs="Times New Roman" w:eastAsia="Times New Roman" w:hAnsi="Times New Roman"/>
          <w:sz w:val="19"/>
          <w:szCs w:val="19"/>
        </w:rPr>
        <w:t xml:space="preserve">Alberto Rech, Matteo Pagin, Leonardo Badia, Stefano Tomasin, Marco Giordani, Jonathan Gambini, Michele Zorzi (2024). Clustering-Based Downlink Scheduling of IRS-Assisted Communications With Reconfiguration Constraints. IEEE Transactions on Wireless Communications. https://doi.org/10.1109/twc.2024.3469559</w:t>
      </w:r>
    </w:p>
    <w:p>
      <w:pPr>
        <w:spacing w:after="70" w:before="0" w:line="250"/>
        <w:jc w:val="both"/>
      </w:pPr>
      <w:r>
        <w:rPr>
          <w:rFonts w:ascii="Times New Roman" w:cs="Times New Roman" w:eastAsia="Times New Roman" w:hAnsi="Times New Roman"/>
          <w:sz w:val="19"/>
          <w:szCs w:val="19"/>
        </w:rPr>
        <w:t xml:space="preserve">Abid Afridi, Iqra Hameed, Insoo Koo (2024). Quantum PSO-Based Optimization of Secured IRS-Assisted Wireless-Powered IoT Networks. Applied Sciences. https://doi.org/10.3390/app142411677</w:t>
      </w:r>
    </w:p>
    <w:p>
      <w:pPr>
        <w:spacing w:after="70" w:before="0" w:line="250"/>
        <w:jc w:val="both"/>
      </w:pPr>
      <w:r>
        <w:rPr>
          <w:rFonts w:ascii="Times New Roman" w:cs="Times New Roman" w:eastAsia="Times New Roman" w:hAnsi="Times New Roman"/>
          <w:sz w:val="19"/>
          <w:szCs w:val="19"/>
        </w:rPr>
        <w:t xml:space="preserve">Nidhi Simmons, David E. Simmons, Michel Daoud Yacoub (2024). Outage Performance and Novel Loss Function for an ML-Assisted Resource Allocation: An Exact Analytical Framework. IEEE Transactions on Machine Learning in Communications and Networking. https://doi.org/10.1109/tmlcn.2024.3369007</w:t>
      </w:r>
    </w:p>
    <w:p>
      <w:pPr>
        <w:spacing w:after="70" w:before="0" w:line="250"/>
        <w:jc w:val="both"/>
      </w:pPr>
      <w:r>
        <w:rPr>
          <w:rFonts w:ascii="Times New Roman" w:cs="Times New Roman" w:eastAsia="Times New Roman" w:hAnsi="Times New Roman"/>
          <w:sz w:val="19"/>
          <w:szCs w:val="19"/>
        </w:rPr>
        <w:t xml:space="preserve">Md. Asif Shahjalal, Md. Habibur Rahman, Md Morshed Alam, Mostafa Zaman Chowdhury, Yeong Min Jang (2024). DRL-Assisted Dynamic Subconnected Hybrid Precoding for Multi-Layer THz mMIMO-NOMA System. IEEE Transactions on Vehicular Technology. https://doi.org/10.1109/tvt.2024.3385494</w:t>
      </w:r>
    </w:p>
    <w:p>
      <w:pPr>
        <w:spacing w:after="70" w:before="0" w:line="250"/>
        <w:jc w:val="both"/>
      </w:pPr>
      <w:r>
        <w:rPr>
          <w:rFonts w:ascii="Times New Roman" w:cs="Times New Roman" w:eastAsia="Times New Roman" w:hAnsi="Times New Roman"/>
          <w:sz w:val="19"/>
          <w:szCs w:val="19"/>
        </w:rPr>
        <w:t xml:space="preserve">Claudia Carballo González, Ernesto Fontes Pupo, Eneko Iradier, Pablo Angueira, Maurizio Murroni, Jon Montalbán (2024). Network Selection Over 5G-Advanced Heterogeneous Networks Based on Federated Learning and Cooperative Game Theory. IEEE Transactions on Vehicular Technology. https://doi.org/10.1109/tvt.2024.3373638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f1d31f21ad69dfd84c3dbe12142f9fe6e32f543.png"/><Relationship Id="rId9" Type="http://schemas.openxmlformats.org/officeDocument/2006/relationships/image" Target="media/2870a6225e73073ed370f11716e91e8b2d9d44e8.png"/><Relationship Id="rId10" Type="http://schemas.openxmlformats.org/officeDocument/2006/relationships/image" Target="media/3de33351d229e16ab7025e70c510b8ce05d3337e.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2026-10-07T04:27:44.750Z</dcterms:created>
  <dcterms:modified xsi:type="dcterms:W3CDTF">2026-10-07T04:27:44.752Z</dcterms:modified>
</cp:coreProperties>
</file>

<file path=docProps/custom.xml><?xml version="1.0" encoding="utf-8"?>
<Properties xmlns="http://schemas.openxmlformats.org/officeDocument/2006/custom-properties" xmlns:vt="http://schemas.openxmlformats.org/officeDocument/2006/docPropsVTypes"/>
</file>