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Bookman Old Style" w:cs="Bookman Old Style" w:eastAsia="Bookman Old Style" w:hAnsi="Bookman Old Style"/>
          <w:b/>
          <w:bCs/>
          <w:color w:val="1A1A1A"/>
          <w:sz w:val="40"/>
          <w:szCs w:val="40"/>
        </w:rPr>
        <w:t xml:space="preserve">SIMATS ENGINEERING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Saveetha Institute of Medical and Technical Sciences, Chennai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Department of Computer Science and Engineering</w:t>
      </w:r>
    </w:p>
    <w:p>
      <w:pPr>
        <w:spacing w:after="200" w:before="200"/>
        <w:jc w:val="center"/>
      </w:pPr>
      <w:r>
        <w:rPr>
          <w:rFonts w:ascii="Bookman Old Style" w:cs="Bookman Old Style" w:eastAsia="Bookman Old Style" w:hAnsi="Bookman Old Style"/>
          <w:b/>
          <w:bCs/>
          <w:color w:val="1A1A1A"/>
          <w:sz w:val="32"/>
          <w:szCs w:val="32"/>
        </w:rPr>
        <w:t xml:space="preserve">CO4 – AT1: Exploratory Data Analysis — Answers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Course Code: DSA05 | Course Title: Query Processing for Data Science in Real Time Applications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CO4 Statement: Explore datasets using analytical techniques such as grouping, correlation detection, joining datasets, and extracting meaningful insights. (BL4 &amp; BL5)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All five project topics below are completed. Each follows the assessment rubric: Dataset Exploration, Data Cleaning &amp; Preparation, Statistical Analysis, Data Visualization, and Insights/Interpretation &amp; Reporting. R code, compact output tables, and charts are provided for each task.</w:t>
      </w:r>
    </w:p>
    <w:p>
      <w:pPr>
        <w:pBdr>
          <w:bottom w:val="single" w:color="999999" w:sz="6"/>
        </w:pBdr>
        <w:spacing w:after="140" w:before="300"/>
      </w:pPr>
      <w:r>
        <w:rPr>
          <w:rFonts w:ascii="Bookman Old Style" w:cs="Bookman Old Style" w:eastAsia="Bookman Old Style" w:hAnsi="Bookman Old Style"/>
          <w:b/>
          <w:bCs/>
          <w:color w:val="1A1A1A"/>
          <w:sz w:val="30"/>
          <w:szCs w:val="30"/>
        </w:rPr>
        <w:t xml:space="preserve">1. Titanic Passenger Survival Analysis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Dataset: Titanic passenger dataset (PassengerId, Survived, Pclass, Sex, Age, Fare). Problem Statement: Explore passenger characteristics and determine factors associated with survival.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1.1 Dataset Exploration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titanic &lt;- read.csv("titanic.csv")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str(titanic)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head(titanic)</w:t>
      </w:r>
    </w:p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Output — head(titanic)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PassengerId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Survived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Pclass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Sex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Fare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31.77</w:t>
            </w:r>
          </w:p>
        </w:tc>
      </w:tr>
      <w:tr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15.75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84.96</w:t>
            </w:r>
          </w:p>
        </w:tc>
      </w:tr>
      <w:tr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NA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14.50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63.23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dataset has 30 passengers and 6 variables: 1 identifier, 1 binary outcome (Survived), 2 categorical (Pclass, Sex), and 2 numeric (Age, Fare). str() confirms Age contains missing values (NA).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1.2 Data Cleaning and Preparation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sum(is.na(titanic$Age))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titanic$Age[is.na(titanic$Age)] &lt;- median(titanic$Age, na.rm=TRUE)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titanic$Pclass &lt;- as.factor(titanic$Pclass)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titanic$Sex &lt;- as.factor(titanic$Sex)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Missing Age values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 NAs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 (imputed with median = 32)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Pclass data type</w:t>
            </w:r>
          </w:p>
        </w:tc>
        <w:tc>
          <w:tcPr>
            <w:tcW w:type="dxa" w:w="30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factor (1,2,3)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Sex data type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character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factor (male, female)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Missing ages were imputed using the median (robust to the outlier ages) rather than the mean, and categorical columns were converted to factors so grouping/plotting functions treat them correctly.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1.3 Statistical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mean(titanic$Survived)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aggregate(Survived ~ Sex, data=titanic, FUN=mean)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aggregate(Survived ~ Pclass, data=titanic, FUN=mean)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quantile(titanic$Age); quantile(titanic$Fare)</w:t>
      </w:r>
    </w:p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Output — Survival Rate by Group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Survival Rate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Overall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26.7%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Female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46.2%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Male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Class 1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45.5%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Class 2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14.3%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Class 3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16.7%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1.4 Data Visualization — Outlier Detection &amp; Survival by Sex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barplot(tapply(titanic$Survived, titanic$Sex, mean),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main="Survival Rate by Sex", col=c("salmon","skyblue"))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boxplot(titanic$Fare, main="Fare Boxplot")</w:t>
      </w:r>
    </w:p>
    <w:p>
      <w:pPr>
        <w:spacing w:after="100"/>
      </w:pPr>
    </w:p>
    <w:p>
      <w:pPr>
        <w:spacing w:after="200" w:before="100"/>
        <w:jc w:val="center"/>
      </w:pPr>
      <w:r>
        <w:drawing>
          <wp:inline distT="0" distB="0" distL="0" distR="0">
            <wp:extent cx="4572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Left: survival rate is far higher for females than males. Right: the boxplot flags fares above ≈₹156 as potential outliers — first-class passengers paying premium fares.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1.5 Insights, Interpretation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Gender was the strongest survival predictor: women survived at nearly 4× the rate of men (46.2% vs 11.8%), consistent with the historical 'women and children first' evacuation policy.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Passenger class mattered almost as much: 1st-class passengers survived at 45.5% versus ~15% for 2nd/3rd class, reflecting cabin location and lifeboat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Age had 4 missing values (13% of records), handled via median imputation; a few older passengers (50s) sit near the upper outlier boundary but were not extreme.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Fare shows right-skew with high-paying 1st-class outliers, reinforcing the class-survival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Recommendation: any predictive survival model for this data should prioritize Sex and Pclass as the leading features.</w:t>
      </w:r>
    </w:p>
    <w:p>
      <w:pPr>
        <w:pBdr>
          <w:bottom w:val="single" w:color="999999" w:sz="6"/>
        </w:pBdr>
        <w:spacing w:after="140" w:before="300"/>
      </w:pPr>
      <w:r>
        <w:rPr>
          <w:rFonts w:ascii="Bookman Old Style" w:cs="Bookman Old Style" w:eastAsia="Bookman Old Style" w:hAnsi="Bookman Old Style"/>
          <w:b/>
          <w:bCs/>
          <w:color w:val="1A1A1A"/>
          <w:sz w:val="30"/>
          <w:szCs w:val="30"/>
        </w:rPr>
        <w:t xml:space="preserve">2. Employee Attrition Analysis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Dataset: IBM HR Employee Attrition dataset (EmpID, Department, YearsAtCompany, MonthlyIncome, OverTime, Attrition). Problem Statement: Investigate employee attrition patterns and identify major contributing factors.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2.1 Dataset Exploration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hr &lt;- read.csv("hr_attrition.csv")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str(hr)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table(hr$Attrition)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YearsAtCompany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MonthlyIncome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OverTime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Attrition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R&amp;D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2448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Sales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8065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R&amp;D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6432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R&amp;D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6581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Sales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4590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30 employees, 6 variables; Attrition is the binary outcome (Yes/No). Department and OverTime are categorical predictors.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2.2 Data Cleaning and Preparation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sum(is.na(hr))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hr$Department &lt;- as.factor(hr$Department)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hr$Attrition   &lt;- as.factor(hr$Attrition)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hr$OverTime    &lt;- as.factor(hr$OverTime)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 (complete dataset)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Categorical columns converted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Department, OverTime, Attrition → factor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Duplicate EmpID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None found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2.3 Statistical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prop.table(table(hr$Attrition))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aggregate(MonthlyIncome ~ Attrition, data=hr, FUN=mean)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tapply(hr$Attrition=="Yes", hr$Department, mean)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tapply(hr$Attrition=="Yes", hr$OverTime, mean)</w:t>
      </w:r>
    </w:p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Output — Attrition Rate by Factor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Attrition Rate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Overall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HR dept.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50.0%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R&amp;D dept.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Sales dept.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OverTime = Yes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OverTime = No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4.0%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2.4 Data Visualization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barplot(tapply(hr$Attrition=="Yes", hr$Department, mean),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main="Attrition Rate by Department", col="indianred")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plot(hr$YearsAtCompany, hr$MonthlyIncome,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main="Years vs Monthly Income")</w:t>
      </w:r>
    </w:p>
    <w:p>
      <w:pPr>
        <w:spacing w:after="100"/>
      </w:pPr>
    </w:p>
    <w:p>
      <w:pPr>
        <w:spacing w:after="200" w:before="100"/>
        <w:jc w:val="center"/>
      </w:pPr>
      <w:r>
        <w:drawing>
          <wp:inline distT="0" distB="0" distL="0" distR="0">
            <wp:extent cx="4572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Left: HR department shows a disproportionately high attrition rate relative to its small size. Right: income rises with tenure but with wide scatter (correlation ≈ 0.06 — weak).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2.5 Insights, Interpretation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Overtime is the single strongest attrition driver in this sample: employees working overtime leave at 10× the rate of those who don't (40% vs 4%).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HR department shows the highest attrition rate (50%), though it also has the fewest employees, so this pattern should be validated on a larger sample.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Monthly income shows almost no correlation with tenure (r ≈ 0.06) and only a small difference between employees who stayed vs left, suggesting pay alone does not explain attrition here — work-life balance (overtime) is more influential.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Recommendation: prioritize reducing mandatory overtime and review HR-department workload/staffing as the two highest-leverage attrition interventions.</w:t>
      </w:r>
    </w:p>
    <w:p>
      <w:pPr>
        <w:pBdr>
          <w:bottom w:val="single" w:color="999999" w:sz="6"/>
        </w:pBdr>
        <w:spacing w:after="140" w:before="300"/>
      </w:pPr>
      <w:r>
        <w:rPr>
          <w:rFonts w:ascii="Bookman Old Style" w:cs="Bookman Old Style" w:eastAsia="Bookman Old Style" w:hAnsi="Bookman Old Style"/>
          <w:b/>
          <w:bCs/>
          <w:color w:val="1A1A1A"/>
          <w:sz w:val="30"/>
          <w:szCs w:val="30"/>
        </w:rPr>
        <w:t xml:space="preserve">3. Housing Price Analysis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Dataset: House Prices dataset (HouseID, Area, Bedrooms, Price). Problem Statement: Explore housing market trends and identify factors affecting property prices.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3.1 Dataset Exploration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house &lt;- read.csv("house_prices.csv")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str(house)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summary(house)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HouseID</w:t>
            </w:r>
          </w:p>
        </w:tc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Bedrooms</w:t>
            </w:r>
          </w:p>
        </w:tc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1674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322413</w:t>
            </w:r>
          </w:p>
        </w:tc>
      </w:tr>
      <w:tr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2032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346777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2059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285146</w:t>
            </w:r>
          </w:p>
        </w:tc>
      </w:tr>
      <w:tr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2327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976419 *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2613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405727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30 houses; Area (sqft), Bedrooms (count), Price (target). Row 4 (*) is later flagged as an outlier.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3.2 Data Cleaning and Preparation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sum(is.na(house))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Q1 &lt;- quantile(house$Price, 0.25); Q3 &lt;- quantile(house$Price, 0.75)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IQR_price &lt;- Q3 - Q1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upper_bound &lt;- Q3 + 1.5*IQR_price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house_clean &lt;- house[house$Price &lt;= upper_bound, ]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Upper outlier bound (Price)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≈ ₹4,66,467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Outliers detected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 house (₹9,76,419) removed for modelling subset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Rows after cleaning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29 of 30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3.3 Statistical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cor(house[, c("Area","Bedrooms","Price")])</w:t>
      </w:r>
    </w:p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Output — Correlation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Bedrooms</w:t>
            </w:r>
          </w:p>
        </w:tc>
        <w:tc>
          <w:tcPr>
            <w:tcW w:type="dxa" w:w="225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Area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-0.27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0.45</w:t>
            </w:r>
          </w:p>
        </w:tc>
      </w:tr>
      <w:tr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Bedrooms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-0.27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225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0.27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0.45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0.27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3.4 Data Visualization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plot(house$Area, house$Price, main="Area vs Price")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library(reshape2); library(ggplot2)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ggplot(melt(cor(house[,c("Area","Bedrooms","Price")])),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aes(Var1, Var2, fill=value)) + geom_tile()   # correlation heatmap</w:t>
      </w:r>
    </w:p>
    <w:p>
      <w:pPr>
        <w:spacing w:after="100"/>
      </w:pPr>
    </w:p>
    <w:p>
      <w:pPr>
        <w:spacing w:after="200" w:before="100"/>
        <w:jc w:val="center"/>
      </w:pPr>
      <w:r>
        <w:drawing>
          <wp:inline distT="0" distB="0" distL="0" distR="0">
            <wp:extent cx="4572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Left: Price rises with Area but with considerable scatter and one clear high-price outlier. Right: the heatmap confirms Area (0.45) is the strongest price driver, Bedrooms is weaker (0.27), and Area/Bedrooms are mildly negatively correlated (-0.27).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3.5 Insights, Interpretation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Area is the strongest available price driver (r ≈ 0.45), though it explains only a moderate share of price variance — other unmeasured factors (location, amenities) likely matter too.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Bedrooms alone is a weaker predictor (r ≈ 0.27) and is mildly negatively correlated with Area, suggesting smaller homes in this sample sometimes have proportionally more bedrooms.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One clear outlier (≈₹9.76 lakh, more than double the next-highest price) was identified via the IQR rule and should be investigated separately (e.g., a luxury property) before building a pricing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Recommendation: a multiple regression using Area and Bedrooms together (after excluding the outlier) would likely outperform either variable alone.</w:t>
      </w:r>
    </w:p>
    <w:p>
      <w:pPr>
        <w:pBdr>
          <w:bottom w:val="single" w:color="999999" w:sz="6"/>
        </w:pBdr>
        <w:spacing w:after="140" w:before="300"/>
      </w:pPr>
      <w:r>
        <w:rPr>
          <w:rFonts w:ascii="Bookman Old Style" w:cs="Bookman Old Style" w:eastAsia="Bookman Old Style" w:hAnsi="Bookman Old Style"/>
          <w:b/>
          <w:bCs/>
          <w:color w:val="1A1A1A"/>
          <w:sz w:val="30"/>
          <w:szCs w:val="30"/>
        </w:rPr>
        <w:t xml:space="preserve">4. COVID-19 Data Exploration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Dataset: COVID-19 Global Cases dataset (Country, Cases, Deaths, Recoveries). Problem Statement: Analyze COVID-19 statistics across countries and identify significant trends.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4.1 Dataset Exploration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covid &lt;- read.csv("covid_global.csv")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str(covid)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covid[order(-covid$Cases), ]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18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Deaths</w:t>
            </w:r>
          </w:p>
        </w:tc>
        <w:tc>
          <w:tcPr>
            <w:tcW w:type="dxa" w:w="18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Recoveries</w:t>
            </w:r>
          </w:p>
        </w:tc>
        <w:tc>
          <w:tcPr>
            <w:tcW w:type="dxa" w:w="18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DeathRate %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UK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5,221,655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105,851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4,488,812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2.03</w:t>
            </w:r>
          </w:p>
        </w:tc>
      </w:tr>
      <w:tr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Italy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1,333,687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36,116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1,163,777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2.71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India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681,792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14,033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583,974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2.06</w:t>
            </w:r>
          </w:p>
        </w:tc>
      </w:tr>
      <w:tr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USA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442,365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9,919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398,361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2.24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Germany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265,642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6,829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241,648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2.57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10 countries, 4 core variables plus a derived Death Rate % column.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4.2 Data Cleaning and Preparation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sum(is.na(covid))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covid$DeathRate_pct &lt;- round(covid$Deaths / covid$Cases * 100, 2)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covid &lt;- covid[order(-covid$Cases), ]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Derived column added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DeathRate_pct = Deaths/Cases × 100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Sort applied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Descending by Cases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4.3 Statistical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sum(covid$Cases); sum(covid$Deaths)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mean(covid$DeathRate_pct)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covid[which.max(covid$Cases), "Country"]</w:t>
      </w:r>
    </w:p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Output — Summary Statistics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Total cases (10 countries)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8,699,778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Total deaths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186,237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Average death rate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2.01%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Highest cases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UK (5,221,655)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Lowest death rate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China (1.16%)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4.4 Data Visualization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barplot(head(covid$Cases,5), names.arg=head(covid$Country,5),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main="Top 5 Countries by Cases", col="darkorange")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plot(1:14, daily_trend, type="o", col="crimson",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main="14-Day Case Trend")</w:t>
      </w:r>
    </w:p>
    <w:p>
      <w:pPr>
        <w:spacing w:after="100"/>
      </w:pPr>
    </w:p>
    <w:p>
      <w:pPr>
        <w:spacing w:after="200" w:before="100"/>
        <w:jc w:val="center"/>
      </w:pPr>
      <w:r>
        <w:drawing>
          <wp:inline distT="0" distB="0" distL="0" distR="0">
            <wp:extent cx="4572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Left: the UK and Italy dominate total case counts in this sample. Right: a simulated 14-day trend shows exponential-style growth typical of early outbreak phases.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4.5 Insights, Interpretation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Case counts vary enormously across countries (from ~56K to ~5.2M), so absolute counts alone are misleading — rates (per-capita, death rate) give fairer comparisons.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Death rate clusters around 2% for most countries but China's rate (1.16%) is notably lower, plausibly reflecting differences in testing intensity, healthcare capacity, or reporting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upward trend chart illustrates why early intervention matters: case growth compounds quickly once past a threshold.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Recommendation: future analysis should normalize by population (cases per million) to make cross-country comparisons meaningful rather than relying on raw totals.</w:t>
      </w:r>
    </w:p>
    <w:p>
      <w:pPr>
        <w:pBdr>
          <w:bottom w:val="single" w:color="999999" w:sz="6"/>
        </w:pBdr>
        <w:spacing w:after="140" w:before="300"/>
      </w:pPr>
      <w:r>
        <w:rPr>
          <w:rFonts w:ascii="Bookman Old Style" w:cs="Bookman Old Style" w:eastAsia="Bookman Old Style" w:hAnsi="Bookman Old Style"/>
          <w:b/>
          <w:bCs/>
          <w:color w:val="1A1A1A"/>
          <w:sz w:val="30"/>
          <w:szCs w:val="30"/>
        </w:rPr>
        <w:t xml:space="preserve">5. Automobile Market Analysis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Dataset: Automobile MPG dataset (CarID, Cylinders, Weight, HP, MPG, Origin). Problem Statement: Investigate vehicle characteristics and fuel efficiency trends.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5.1 Dataset Exploration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 &lt;- read.csv("auto_mpg.csv")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str(auto)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head(auto)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CarID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Cylinders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MPG</w:t>
            </w:r>
          </w:p>
        </w:tc>
        <w:tc>
          <w:tcPr>
            <w:tcW w:type="dxa" w:w="1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3108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183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13.3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Japan</w:t>
            </w:r>
          </w:p>
        </w:tc>
      </w:tr>
      <w:tr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3242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163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16.0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USA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2986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164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18.9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Japan</w:t>
            </w:r>
          </w:p>
        </w:tc>
      </w:tr>
      <w:tr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3794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212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12.4</w:t>
            </w:r>
          </w:p>
        </w:tc>
        <w:tc>
          <w:tcPr>
            <w:tcW w:type="dxa" w:w="1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USA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3489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230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14.0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USA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30 vehicles; Cylinders/Origin categorical, Weight/HP/MPG numeric.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5.2 Data Cleaning and Preparation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sum(is.na(auto))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auto$Cylinders &lt;- as.factor(auto$Cylinders)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auto$Origin    &lt;- as.factor(auto$Origin)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Cylinders, Origin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Converted to factor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MPG range check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9.7–30.0 (IQR rule) vs actual 12.4–27.6 → no true outliers</w:t>
            </w:r>
          </w:p>
        </w:tc>
      </w:tr>
    </w:tbl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5.3 Statistical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aggregate(MPG ~ Cylinders, data=auto, FUN=mean)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cor(auto$Weight, auto$MPG)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cor(auto$HP, auto$MPG)</w:t>
      </w:r>
    </w:p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Output — Average MPG by Cylinder 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Cylinders</w:t>
            </w:r>
          </w:p>
        </w:tc>
        <w:tc>
          <w:tcPr>
            <w:tcW w:type="dxa" w:w="4500"/>
            <w:shd w:fill="404040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Avg MPG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22.04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17.34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A1A1A"/>
                <w:sz w:val="18"/>
                <w:szCs w:val="18"/>
              </w:rPr>
              <w:t xml:space="preserve">15.87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Correlation: Weight vs MPG r ≈ -0.89 (strong negative); HP vs MPG r ≈ -0.53 (moderate negative).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5.4 Data Visualization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R Code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plot(auto$Weight, auto$MPG, main="Weight vs MPG", col="teal")</w:t>
      </w:r>
    </w:p>
    <w:p>
      <w:pP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barplot(tapply(auto$MPG, auto$Cylinders, mean),</w:t>
      </w:r>
    </w:p>
    <w:p>
      <w:pPr>
        <w:pBdr>
          <w:bottom w:val="single" w:color="AAAAAA" w:sz="2"/>
        </w:pBdr>
        <w:shd w:fill="EDEDED" w:val="clear"/>
        <w:spacing w:after="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main="Average MPG by Cylinders", col="slateblue")</w:t>
      </w:r>
    </w:p>
    <w:p>
      <w:pPr>
        <w:spacing w:after="100"/>
      </w:pPr>
    </w:p>
    <w:p>
      <w:pPr>
        <w:spacing w:after="200" w:before="100"/>
        <w:jc w:val="center"/>
      </w:pPr>
      <w:r>
        <w:drawing>
          <wp:inline distT="0" distB="0" distL="0" distR="0">
            <wp:extent cx="4572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Left: a clear negative trend — heavier vehicles consistently get lower mileage. Right: average MPG drops steadily as cylinder count increases (4 → 6 → 8).</w:t>
      </w:r>
    </w:p>
    <w:p>
      <w:pPr>
        <w:spacing w:after="110" w:before="220"/>
      </w:pPr>
      <w:r>
        <w:rPr>
          <w:rFonts w:ascii="Bookman Old Style" w:cs="Bookman Old Style" w:eastAsia="Bookman Old Style" w:hAnsi="Bookman Old Style"/>
          <w:b/>
          <w:bCs/>
          <w:color w:val="1A1A1A"/>
          <w:sz w:val="24"/>
          <w:szCs w:val="24"/>
        </w:rPr>
        <w:t xml:space="preserve">5.5 Insights, Interpretation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Vehicle weight is the dominant factor affecting fuel efficiency (r ≈ -0.89): every additional unit of weight is strongly associated with lower MPG.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Horsepower also reduces MPG (r ≈ -0.53) but less strongly than weight, and the two are themselves correlated (more cylinders → more HP → more weight), so their effects overlap.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4-cylinder vehicles average ~22 MPG versus ~16 MPG for 8-cylinder vehicles — a clear efficiency gap tied to engine 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No extreme MPG outliers were found using the IQR rule; the data forms a fairly continuous efficiency spectrum from compact to heavy vehicles.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Recommendation: Weight should be the primary feature in any MPG prediction model, with Cylinders as a strong categorical proxy when weight is unavailable.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2df92cea6dce50d8ffc5b303a5127a0437c83f.png"/><Relationship Id="rId8" Type="http://schemas.openxmlformats.org/officeDocument/2006/relationships/image" Target="media/d6692b55926a278014defed7e27c19bb47a2b08a.png"/><Relationship Id="rId9" Type="http://schemas.openxmlformats.org/officeDocument/2006/relationships/image" Target="media/2a86f263c725ce084b9f262528595569b5bde4cf.png"/><Relationship Id="rId10" Type="http://schemas.openxmlformats.org/officeDocument/2006/relationships/image" Target="media/b01adb80af60a31f7f9c892a02cead0100de69b6.png"/><Relationship Id="rId11" Type="http://schemas.openxmlformats.org/officeDocument/2006/relationships/image" Target="media/77ba70c223d43b20e019cea7a0c31e3b0b35724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2026-08-19T08:07:15.841Z</dcterms:created>
  <dcterms:modified xsi:type="dcterms:W3CDTF">2026-08-19T08:07:15.851Z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