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p>
    <w:p>
      <w:pPr>
        <w:jc w:val="center"/>
      </w:pPr>
      <w:r>
        <w:rPr>
          <w:rFonts w:ascii="Calibri" w:cs="Calibri" w:eastAsia="Calibri" w:hAnsi="Calibri"/>
          <w:b/>
          <w:bCs/>
          <w:color w:val="0B1B3D"/>
          <w:sz w:val="38"/>
          <w:szCs w:val="38"/>
        </w:rPr>
        <w:t xml:space="preserve">GEORGE INSTITUTE OF SCIENCE &amp; TECHNOLOGY</w:t>
      </w:r>
    </w:p>
    <w:p>
      <w:pPr>
        <w:spacing w:after="400" w:before="80"/>
        <w:jc w:val="center"/>
      </w:pPr>
      <w:r>
        <w:rPr>
          <w:rFonts w:ascii="Calibri" w:cs="Calibri" w:eastAsia="Calibri" w:hAnsi="Calibri"/>
          <w:b/>
          <w:bCs/>
          <w:color w:val="D97706"/>
          <w:sz w:val="22"/>
          <w:szCs w:val="22"/>
        </w:rPr>
        <w:t xml:space="preserve">Autonomous University | NAAC A++ Grade | NIRF Top 50 Ranked</w:t>
      </w:r>
    </w:p>
    <w:p>
      <w:pPr>
        <w:spacing w:after="120" w:before="400"/>
        <w:jc w:val="center"/>
      </w:pPr>
      <w:r>
        <w:rPr>
          <w:rFonts w:ascii="Calibri" w:cs="Calibri" w:eastAsia="Calibri" w:hAnsi="Calibri"/>
          <w:b/>
          <w:bCs/>
          <w:color w:val="1E293B"/>
          <w:sz w:val="30"/>
          <w:szCs w:val="30"/>
        </w:rPr>
        <w:t xml:space="preserve">PROJECT DOCUMENTATION &amp; TECHNICAL REPORT</w:t>
      </w:r>
    </w:p>
    <w:p>
      <w:pPr>
        <w:spacing w:after="600" w:before="80"/>
        <w:jc w:val="center"/>
      </w:pPr>
      <w:r>
        <w:rPr>
          <w:rFonts w:ascii="Calibri" w:cs="Calibri" w:eastAsia="Calibri" w:hAnsi="Calibri"/>
          <w:i/>
          <w:iCs/>
          <w:color w:val="475569"/>
          <w:sz w:val="24"/>
          <w:szCs w:val="24"/>
        </w:rPr>
        <w:t xml:space="preserve">Design, Architecture &amp; Implementation of Next-Generation Institutional Web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40"/>
              <w:left w:type="dxa" w:w="200"/>
              <w:bottom w:type="dxa" w:w="140"/>
              <w:right w:type="dxa" w:w="140"/>
            </w:tcMar>
          </w:tcPr>
          <w:p>
            <w:pPr>
              <w:spacing w:after="40" w:before="40"/>
            </w:pPr>
            <w:r>
              <w:rPr>
                <w:rFonts w:ascii="Calibri" w:cs="Calibri" w:eastAsia="Calibri" w:hAnsi="Calibri"/>
                <w:b/>
                <w:bCs/>
                <w:color w:val="D97706"/>
                <w:sz w:val="22"/>
                <w:szCs w:val="22"/>
              </w:rPr>
              <w:t xml:space="preserve">Key Note: </w:t>
            </w:r>
            <w:r>
              <w:rPr>
                <w:rFonts w:ascii="Calibri" w:cs="Calibri" w:eastAsia="Calibri" w:hAnsi="Calibri"/>
                <w:i/>
                <w:iCs/>
                <w:color w:val="475569"/>
                <w:sz w:val="22"/>
                <w:szCs w:val="22"/>
              </w:rPr>
              <w:t xml:space="preserve">Developed under the visionary patronage of Dr. Ajmal Khan, Chancellor &amp; Head of the Institution. This report comprehensively documents the literature survey, technical specifications, component hierarchy, responsive UI/UX architecture, and cloud deployment pipelines.</w:t>
            </w:r>
          </w:p>
        </w:tc>
      </w:tr>
    </w:tbl>
    <w:p>
      <w:pPr>
        <w:spacing w:after="100"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r>
              <w:rPr>
                <w:b/>
                <w:bCs/>
                <w:color w:val="0B1B3D"/>
                <w:sz w:val="22"/>
                <w:szCs w:val="22"/>
              </w:rPr>
              <w:t xml:space="preserve">Head of Institution:</w:t>
            </w:r>
          </w:p>
          <w:p>
            <w:r>
              <w:rPr>
                <w:b/>
                <w:bCs/>
                <w:color w:val="D97706"/>
                <w:sz w:val="24"/>
                <w:szCs w:val="24"/>
              </w:rPr>
              <w:t xml:space="preserve">Dr. Ajmal Khan</w:t>
            </w:r>
          </w:p>
          <w:p>
            <w:r>
              <w:rPr>
                <w:color w:val="64748B"/>
                <w:sz w:val="20"/>
                <w:szCs w:val="20"/>
              </w:rPr>
              <w:t xml:space="preserve">Chancellor &amp; Founder
George Institute of Science &amp; Technology</w:t>
            </w:r>
          </w:p>
        </w:tc>
        <w:tc>
          <w:tcPr>
            <w:tcW w:type="pct" w:w="50%"/>
            <w:tcBorders>
              <w:top w:val="none"/>
              <w:left w:val="none"/>
              <w:bottom w:val="none"/>
              <w:right w:val="none"/>
            </w:tcBorders>
          </w:tcPr>
          <w:p>
            <w:pPr>
              <w:jc w:val="right"/>
            </w:pPr>
            <w:r>
              <w:rPr>
                <w:b/>
                <w:bCs/>
                <w:color w:val="0B1B3D"/>
                <w:sz w:val="22"/>
                <w:szCs w:val="22"/>
              </w:rPr>
              <w:t xml:space="preserve">Academic Year: 2026-2027</w:t>
            </w:r>
          </w:p>
          <w:p>
            <w:pPr>
              <w:jc w:val="right"/>
            </w:pPr>
            <w:r>
              <w:rPr>
                <w:color w:val="475569"/>
                <w:sz w:val="20"/>
                <w:szCs w:val="20"/>
              </w:rPr>
              <w:t xml:space="preserve">Framework: React 19 + Vite 8</w:t>
            </w:r>
          </w:p>
          <w:p>
            <w:pPr>
              <w:jc w:val="right"/>
            </w:pPr>
            <w:r>
              <w:rPr>
                <w:color w:val="475569"/>
                <w:sz w:val="20"/>
                <w:szCs w:val="20"/>
              </w:rPr>
              <w:t xml:space="preserve">Hosting: Render Cloud &amp; GitHub CI/CD</w:t>
            </w:r>
          </w:p>
        </w:tc>
      </w:tr>
    </w:tbl>
    <w:p>
      <w:r>
        <w:br w:type="page"/>
      </w:r>
    </w:p>
    <w:p>
      <w:pPr>
        <w:pStyle w:val="Heading1"/>
        <w:spacing w:after="160" w:before="360"/>
      </w:pPr>
      <w:r>
        <w:rPr>
          <w:rFonts w:ascii="Calibri" w:cs="Calibri" w:eastAsia="Calibri" w:hAnsi="Calibri"/>
          <w:b/>
          <w:bCs/>
          <w:color w:val="0B1B3D"/>
          <w:sz w:val="32"/>
          <w:szCs w:val="32"/>
        </w:rPr>
        <w:t xml:space="preserve">Abstract</w:t>
      </w:r>
    </w:p>
    <w:p>
      <w:pPr>
        <w:spacing w:after="120" w:before="80" w:line="276"/>
      </w:pPr>
      <w:r>
        <w:rPr>
          <w:rFonts w:ascii="Calibri" w:cs="Calibri" w:eastAsia="Calibri" w:hAnsi="Calibri"/>
          <w:b w:val="false"/>
          <w:bCs w:val="false"/>
          <w:i w:val="false"/>
          <w:iCs w:val="false"/>
          <w:color w:val="334155"/>
          <w:sz w:val="22"/>
          <w:szCs w:val="22"/>
        </w:rPr>
        <w:t xml:space="preserve">The digital ecosystem of modern higher educational institutions plays an instrumental role in shaping stakeholder perceptions, facilitating admissions pipelines, and projecting academic and research stature on the international stage. Traditional collegiate websites frequently suffer from cognitive overload, monolithic architectures, sluggish server response times, and fragmented mobile responsiveness. This project presents the comprehensive engineering and deployment of the next-generation web portal for George Institute of Science &amp; Technology (GIST), a premier autonomous multidisciplinary institution situated in Chennai’s High-Tech Corridor under the leadership of Chancellor Dr. Ajmal Khan.</w:t>
      </w:r>
    </w:p>
    <w:p>
      <w:pPr>
        <w:spacing w:after="120" w:before="80" w:line="276"/>
      </w:pPr>
      <w:r>
        <w:rPr>
          <w:rFonts w:ascii="Calibri" w:cs="Calibri" w:eastAsia="Calibri" w:hAnsi="Calibri"/>
          <w:b w:val="false"/>
          <w:bCs w:val="false"/>
          <w:i w:val="false"/>
          <w:iCs w:val="false"/>
          <w:color w:val="334155"/>
          <w:sz w:val="22"/>
          <w:szCs w:val="22"/>
        </w:rPr>
        <w:t xml:space="preserve">The project is constructed using a high-performance Single Page Application (SPA) architecture leveraging React 19, Vite 8, and Tailwind CSS. The design system features an Obsidian Dark Mode aesthetic fused with high-contrast amber/orange accents, creating an immersive, futuristic impression aligned with the institution’s core disciplines of Artificial Intelligence, Autonomous Robotics, Quantum Systems, and Techno-Legal Studies.</w:t>
      </w:r>
    </w:p>
    <w:p>
      <w:pPr>
        <w:spacing w:after="120" w:before="80" w:line="276"/>
      </w:pPr>
      <w:r>
        <w:rPr>
          <w:rFonts w:ascii="Calibri" w:cs="Calibri" w:eastAsia="Calibri" w:hAnsi="Calibri"/>
          <w:b w:val="false"/>
          <w:bCs w:val="false"/>
          <w:i w:val="false"/>
          <w:iCs w:val="false"/>
          <w:color w:val="334155"/>
          <w:sz w:val="22"/>
          <w:szCs w:val="22"/>
        </w:rPr>
        <w:t xml:space="preserve">Key innovations delivered within the platform include an interactive 3D perspective dashboard showcasing institutional metrics (h-Index of 118, 9,400+ Scopus citations, ₹45 LPA peak placement package), an instant multi-category academic program search engine spanning 8 autonomous schools and 48+ degree programs, integrated admissions enquiry and ERP fee payment gateways, and an optimized production bundle that builds in under 3.2 seconds. Cloud deployment has been realized via Render with automated continuous integration pipelines via GitHub.</w:t>
      </w:r>
    </w:p>
    <w:p>
      <w:pPr>
        <w:pStyle w:val="Heading2"/>
        <w:spacing w:after="120" w:before="240"/>
      </w:pPr>
      <w:r>
        <w:rPr>
          <w:rFonts w:ascii="Calibri" w:cs="Calibri" w:eastAsia="Calibri" w:hAnsi="Calibri"/>
          <w:b/>
          <w:bCs/>
          <w:color w:val="D97706"/>
          <w:sz w:val="26"/>
          <w:szCs w:val="26"/>
        </w:rPr>
        <w:t xml:space="preserve">Executive Summary &amp; Impact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Metric / Parameter</w:t>
            </w:r>
          </w:p>
        </w:tc>
        <w:tc>
          <w:tcPr>
            <w:tcW w:type="pct" w:w="30%"/>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Legacy System Baseline</w:t>
            </w:r>
          </w:p>
        </w:tc>
        <w:tc>
          <w:tcPr>
            <w:tcW w:type="pct" w:w="35%"/>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GIST Portal Accomplishment</w:t>
            </w:r>
          </w:p>
        </w:tc>
      </w:tr>
      <w:tr>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First Contentful Paint (FCP)</w:t>
            </w:r>
          </w:p>
        </w:tc>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2.8 - 4.5 seconds</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&lt; 0.8 seconds (Instantaneous)</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Frontend Architectural Paradigm</w:t>
            </w:r>
          </w:p>
        </w:tc>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Monolithic Server-Side CMS</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Modular Component SPA (React 19)</w:t>
            </w:r>
          </w:p>
        </w:tc>
      </w:tr>
      <w:tr>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Mobile Responsiveness Index</w:t>
            </w:r>
          </w:p>
        </w:tc>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Partial (Fixed layout overflows)</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100% Fluid Breakpoints (Tailwind)</w:t>
            </w:r>
          </w:p>
        </w:tc>
      </w:tr>
      <w:tr>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Production Bundle Size</w:t>
            </w:r>
          </w:p>
        </w:tc>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&gt; 5.2 MB uncompressed</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320 KB JS / 57 KB CSS (Gzipped: ~102 KB)</w:t>
            </w:r>
          </w:p>
        </w:tc>
      </w:tr>
    </w:tbl>
    <w:p>
      <w:r>
        <w:br w:type="page"/>
      </w:r>
    </w:p>
    <w:p>
      <w:pPr>
        <w:pStyle w:val="Heading1"/>
        <w:spacing w:after="160" w:before="360"/>
      </w:pPr>
      <w:r>
        <w:rPr>
          <w:rFonts w:ascii="Calibri" w:cs="Calibri" w:eastAsia="Calibri" w:hAnsi="Calibri"/>
          <w:b/>
          <w:bCs/>
          <w:color w:val="0B1B3D"/>
          <w:sz w:val="32"/>
          <w:szCs w:val="32"/>
        </w:rPr>
        <w:t xml:space="preserve">Chapter 1: Introduction &amp; Institutional Context</w:t>
      </w:r>
    </w:p>
    <w:p>
      <w:pPr>
        <w:pStyle w:val="Heading2"/>
        <w:spacing w:after="120" w:before="240"/>
      </w:pPr>
      <w:r>
        <w:rPr>
          <w:rFonts w:ascii="Calibri" w:cs="Calibri" w:eastAsia="Calibri" w:hAnsi="Calibri"/>
          <w:b/>
          <w:bCs/>
          <w:color w:val="D97706"/>
          <w:sz w:val="26"/>
          <w:szCs w:val="26"/>
        </w:rPr>
        <w:t xml:space="preserve">1.1 Background of George Institute of Science &amp; Technology (GIST)</w:t>
      </w:r>
    </w:p>
    <w:p>
      <w:pPr>
        <w:spacing w:after="120" w:before="80" w:line="276"/>
      </w:pPr>
      <w:r>
        <w:rPr>
          <w:rFonts w:ascii="Calibri" w:cs="Calibri" w:eastAsia="Calibri" w:hAnsi="Calibri"/>
          <w:b w:val="false"/>
          <w:bCs w:val="false"/>
          <w:i w:val="false"/>
          <w:iCs w:val="false"/>
          <w:color w:val="334155"/>
          <w:sz w:val="22"/>
          <w:szCs w:val="22"/>
        </w:rPr>
        <w:t xml:space="preserve">Founded in 1998, George Institute of Science &amp; Technology (GIST) has grown over nearly three decades into one of South India’s most distinguished autonomous centers of higher technological education. Spread across a sprawling 65-acre zero-carbon smart campus on Chennai’s High-Tech Corridor Expressway, GIST accommodates over 8,500 students across 8 specialized autonomous schools, offering 48+ industry-aligned degree programs.</w:t>
      </w:r>
    </w:p>
    <w:p>
      <w:pPr>
        <w:pStyle w:val="Heading2"/>
        <w:spacing w:after="120" w:before="240"/>
      </w:pPr>
      <w:r>
        <w:rPr>
          <w:rFonts w:ascii="Calibri" w:cs="Calibri" w:eastAsia="Calibri" w:hAnsi="Calibri"/>
          <w:b/>
          <w:bCs/>
          <w:color w:val="D97706"/>
          <w:sz w:val="26"/>
          <w:szCs w:val="26"/>
        </w:rPr>
        <w:t xml:space="preserve">1.2 Leadership &amp; Vision of Dr. Ajmal Khan</w:t>
      </w:r>
    </w:p>
    <w:p>
      <w:pPr>
        <w:spacing w:after="120" w:before="80" w:line="276"/>
      </w:pPr>
      <w:r>
        <w:rPr>
          <w:rFonts w:ascii="Calibri" w:cs="Calibri" w:eastAsia="Calibri" w:hAnsi="Calibri"/>
          <w:b w:val="false"/>
          <w:bCs w:val="false"/>
          <w:i w:val="false"/>
          <w:iCs w:val="false"/>
          <w:color w:val="334155"/>
          <w:sz w:val="22"/>
          <w:szCs w:val="22"/>
        </w:rPr>
        <w:t xml:space="preserve">Under the stewardship of Chancellor &amp; Founder Dr. Ajmal Khan, the institution has embraced a disruptive philosophy aimed at transforming technical education for Industry 5.0. Dr. Khan’s strategic direction prioritizes student-led venture creation through the George Venture Foundry (backed by a ₹35+ Crore startup seed fund), quantum computing infrastructure (the George Central Nanotechnology &amp; Supercomputing Facility), and ethical leadership. His patron message underscores a core institutional pledge: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40"/>
              <w:left w:type="dxa" w:w="200"/>
              <w:bottom w:type="dxa" w:w="140"/>
              <w:right w:type="dxa" w:w="140"/>
            </w:tcMar>
          </w:tcPr>
          <w:p>
            <w:pPr>
              <w:spacing w:after="40" w:before="40"/>
            </w:pPr>
            <w:r>
              <w:rPr>
                <w:rFonts w:ascii="Calibri" w:cs="Calibri" w:eastAsia="Calibri" w:hAnsi="Calibri"/>
                <w:b/>
                <w:bCs/>
                <w:color w:val="D97706"/>
                <w:sz w:val="22"/>
                <w:szCs w:val="22"/>
              </w:rPr>
              <w:t xml:space="preserve">Key Note: </w:t>
            </w:r>
            <w:r>
              <w:rPr>
                <w:rFonts w:ascii="Calibri" w:cs="Calibri" w:eastAsia="Calibri" w:hAnsi="Calibri"/>
                <w:i/>
                <w:iCs/>
                <w:color w:val="475569"/>
                <w:sz w:val="22"/>
                <w:szCs w:val="22"/>
              </w:rPr>
              <w:t xml:space="preserve">"At George Institute of Science &amp; Technology, our mission transcends traditional education. We are architecting a global sanctuary for scientific innovation, ethical artificial intelligence, and deep-tech entrepreneurship. Every scholar who walks through our gates is groomed to be an architect of tomorrow's breakthroughs."</w:t>
            </w:r>
          </w:p>
        </w:tc>
      </w:tr>
    </w:tbl>
    <w:p>
      <w:pPr>
        <w:pStyle w:val="Heading2"/>
        <w:spacing w:after="120" w:before="240"/>
      </w:pPr>
      <w:r>
        <w:rPr>
          <w:rFonts w:ascii="Calibri" w:cs="Calibri" w:eastAsia="Calibri" w:hAnsi="Calibri"/>
          <w:b/>
          <w:bCs/>
          <w:color w:val="D97706"/>
          <w:sz w:val="26"/>
          <w:szCs w:val="26"/>
        </w:rPr>
        <w:t xml:space="preserve">1.3 Project Motivation &amp; Scope</w:t>
      </w:r>
    </w:p>
    <w:p>
      <w:pPr>
        <w:spacing w:after="120" w:before="80" w:line="276"/>
      </w:pPr>
      <w:r>
        <w:rPr>
          <w:rFonts w:ascii="Calibri" w:cs="Calibri" w:eastAsia="Calibri" w:hAnsi="Calibri"/>
          <w:b w:val="false"/>
          <w:bCs w:val="false"/>
          <w:i w:val="false"/>
          <w:iCs w:val="false"/>
          <w:color w:val="334155"/>
          <w:sz w:val="22"/>
          <w:szCs w:val="22"/>
        </w:rPr>
        <w:t xml:space="preserve">In competitive global higher education, an institution’s online presence is the principal touchpoint for prospective domestic and international students, hiring partners, research collaborators, and regulatory bodies. The scope of this project encompassed:</w:t>
      </w:r>
    </w:p>
    <w:p>
      <w:pPr>
        <w:pStyle w:val="ListParagraph"/>
        <w:numPr>
          <w:ilvl w:val="0"/>
          <w:numId w:val="1"/>
        </w:numPr>
        <w:spacing w:after="60" w:before="60" w:line="260"/>
      </w:pPr>
      <w:r>
        <w:rPr>
          <w:rFonts w:ascii="Calibri" w:cs="Calibri" w:eastAsia="Calibri" w:hAnsi="Calibri"/>
          <w:b/>
          <w:bCs/>
          <w:color w:val="0B1B3D"/>
          <w:sz w:val="22"/>
          <w:szCs w:val="22"/>
        </w:rPr>
        <w:t xml:space="preserve">Visual Rebranding: </w:t>
      </w:r>
      <w:r>
        <w:rPr>
          <w:rFonts w:ascii="Calibri" w:cs="Calibri" w:eastAsia="Calibri" w:hAnsi="Calibri"/>
          <w:color w:val="334155"/>
          <w:sz w:val="22"/>
          <w:szCs w:val="22"/>
        </w:rPr>
        <w:t xml:space="preserve">Crafting a unique brand identity, heraldic crest (george-crest.svg), and luxury dark UI theme.</w:t>
      </w:r>
    </w:p>
    <w:p>
      <w:pPr>
        <w:pStyle w:val="ListParagraph"/>
        <w:numPr>
          <w:ilvl w:val="0"/>
          <w:numId w:val="1"/>
        </w:numPr>
        <w:spacing w:after="60" w:before="60" w:line="260"/>
      </w:pPr>
      <w:r>
        <w:rPr>
          <w:rFonts w:ascii="Calibri" w:cs="Calibri" w:eastAsia="Calibri" w:hAnsi="Calibri"/>
          <w:b/>
          <w:bCs/>
          <w:color w:val="0B1B3D"/>
          <w:sz w:val="22"/>
          <w:szCs w:val="22"/>
        </w:rPr>
        <w:t xml:space="preserve">Academic Program Navigation: </w:t>
      </w:r>
      <w:r>
        <w:rPr>
          <w:rFonts w:ascii="Calibri" w:cs="Calibri" w:eastAsia="Calibri" w:hAnsi="Calibri"/>
          <w:color w:val="334155"/>
          <w:sz w:val="22"/>
          <w:szCs w:val="22"/>
        </w:rPr>
        <w:t xml:space="preserve">Indexing 8 autonomous schools and 48+ curricula with real-time fuzzy filtering.</w:t>
      </w:r>
    </w:p>
    <w:p>
      <w:pPr>
        <w:pStyle w:val="ListParagraph"/>
        <w:numPr>
          <w:ilvl w:val="0"/>
          <w:numId w:val="1"/>
        </w:numPr>
        <w:spacing w:after="60" w:before="60" w:line="260"/>
      </w:pPr>
      <w:r>
        <w:rPr>
          <w:rFonts w:ascii="Calibri" w:cs="Calibri" w:eastAsia="Calibri" w:hAnsi="Calibri"/>
          <w:b/>
          <w:bCs/>
          <w:color w:val="0B1B3D"/>
          <w:sz w:val="22"/>
          <w:szCs w:val="22"/>
        </w:rPr>
        <w:t xml:space="preserve">Research Showcase: </w:t>
      </w:r>
      <w:r>
        <w:rPr>
          <w:rFonts w:ascii="Calibri" w:cs="Calibri" w:eastAsia="Calibri" w:hAnsi="Calibri"/>
          <w:color w:val="334155"/>
          <w:sz w:val="22"/>
          <w:szCs w:val="22"/>
        </w:rPr>
        <w:t xml:space="preserve">Highlighting ₹38.5 Cr funded research, h-Index of 118, and international patents.</w:t>
      </w:r>
    </w:p>
    <w:p>
      <w:pPr>
        <w:pStyle w:val="ListParagraph"/>
        <w:numPr>
          <w:ilvl w:val="0"/>
          <w:numId w:val="1"/>
        </w:numPr>
        <w:spacing w:after="60" w:before="60" w:line="260"/>
      </w:pPr>
      <w:r>
        <w:rPr>
          <w:rFonts w:ascii="Calibri" w:cs="Calibri" w:eastAsia="Calibri" w:hAnsi="Calibri"/>
          <w:b/>
          <w:bCs/>
          <w:color w:val="0B1B3D"/>
          <w:sz w:val="22"/>
          <w:szCs w:val="22"/>
        </w:rPr>
        <w:t xml:space="preserve">Career &amp; Placement Wall: </w:t>
      </w:r>
      <w:r>
        <w:rPr>
          <w:rFonts w:ascii="Calibri" w:cs="Calibri" w:eastAsia="Calibri" w:hAnsi="Calibri"/>
          <w:color w:val="334155"/>
          <w:sz w:val="22"/>
          <w:szCs w:val="22"/>
        </w:rPr>
        <w:t xml:space="preserve">Showcasing ₹45 LPA top packages and recruitment partnerships with Google, NVIDIA, Tesla, and Microsoft.</w:t>
      </w:r>
    </w:p>
    <w:p>
      <w:pPr>
        <w:pStyle w:val="ListParagraph"/>
        <w:numPr>
          <w:ilvl w:val="0"/>
          <w:numId w:val="1"/>
        </w:numPr>
        <w:spacing w:after="60" w:before="60" w:line="260"/>
      </w:pPr>
      <w:r>
        <w:rPr>
          <w:rFonts w:ascii="Calibri" w:cs="Calibri" w:eastAsia="Calibri" w:hAnsi="Calibri"/>
          <w:b/>
          <w:bCs/>
          <w:color w:val="0B1B3D"/>
          <w:sz w:val="22"/>
          <w:szCs w:val="22"/>
        </w:rPr>
        <w:t xml:space="preserve">Digital Transaction Gateways: </w:t>
      </w:r>
      <w:r>
        <w:rPr>
          <w:rFonts w:ascii="Calibri" w:cs="Calibri" w:eastAsia="Calibri" w:hAnsi="Calibri"/>
          <w:color w:val="334155"/>
          <w:sz w:val="22"/>
          <w:szCs w:val="22"/>
        </w:rPr>
        <w:t xml:space="preserve">Streamlining online admissions inquiries and student ERP fee payments.</w:t>
      </w:r>
    </w:p>
    <w:p>
      <w:r>
        <w:br w:type="page"/>
      </w:r>
    </w:p>
    <w:p>
      <w:pPr>
        <w:pStyle w:val="Heading1"/>
        <w:spacing w:after="160" w:before="360"/>
      </w:pPr>
      <w:r>
        <w:rPr>
          <w:rFonts w:ascii="Calibri" w:cs="Calibri" w:eastAsia="Calibri" w:hAnsi="Calibri"/>
          <w:b/>
          <w:bCs/>
          <w:color w:val="0B1B3D"/>
          <w:sz w:val="32"/>
          <w:szCs w:val="32"/>
        </w:rPr>
        <w:t xml:space="preserve">Chapter 2: Comprehensive Literature Survey</w:t>
      </w:r>
    </w:p>
    <w:p>
      <w:pPr>
        <w:pStyle w:val="Heading2"/>
        <w:spacing w:after="120" w:before="240"/>
      </w:pPr>
      <w:r>
        <w:rPr>
          <w:rFonts w:ascii="Calibri" w:cs="Calibri" w:eastAsia="Calibri" w:hAnsi="Calibri"/>
          <w:b/>
          <w:bCs/>
          <w:color w:val="D97706"/>
          <w:sz w:val="26"/>
          <w:szCs w:val="26"/>
        </w:rPr>
        <w:t xml:space="preserve">2.1 Evolution of University Portals (Web 1.0 to Modern Jamstack)</w:t>
      </w:r>
    </w:p>
    <w:p>
      <w:pPr>
        <w:spacing w:after="120" w:before="80" w:line="276"/>
      </w:pPr>
      <w:r>
        <w:rPr>
          <w:rFonts w:ascii="Calibri" w:cs="Calibri" w:eastAsia="Calibri" w:hAnsi="Calibri"/>
          <w:b w:val="false"/>
          <w:bCs w:val="false"/>
          <w:i w:val="false"/>
          <w:iCs w:val="false"/>
          <w:color w:val="334155"/>
          <w:sz w:val="22"/>
          <w:szCs w:val="22"/>
        </w:rPr>
        <w:t xml:space="preserve">Academic web systems have progressed through three distinct generations. Web 1.0 collegiate portals (1995-2005) served solely as static brochureware with severe maintenance overheads. The Web 2.0 era (2006-2020) witnessed mass adoption of monolithic Content Management Systems such as WordPress, Drupal, and Joomla. While CMS platforms simplified editorial publishing, studies by Nielsen Norman Group and IEEE Transactions on Software Engineering show that legacy CMS architectures suffer from heavy server-side rendering latency, security vulnerabilities in unvetted third-party plugins, and poor mobile interaction fidelities.</w:t>
      </w:r>
    </w:p>
    <w:p>
      <w:pPr>
        <w:pStyle w:val="Heading2"/>
        <w:spacing w:after="120" w:before="240"/>
      </w:pPr>
      <w:r>
        <w:rPr>
          <w:rFonts w:ascii="Calibri" w:cs="Calibri" w:eastAsia="Calibri" w:hAnsi="Calibri"/>
          <w:b/>
          <w:bCs/>
          <w:color w:val="D97706"/>
          <w:sz w:val="26"/>
          <w:szCs w:val="26"/>
        </w:rPr>
        <w:t xml:space="preserve">2.2 Single Page Applications (SPAs) in Higher Education</w:t>
      </w:r>
    </w:p>
    <w:p>
      <w:pPr>
        <w:spacing w:after="120" w:before="80" w:line="276"/>
      </w:pPr>
      <w:r>
        <w:rPr>
          <w:rFonts w:ascii="Calibri" w:cs="Calibri" w:eastAsia="Calibri" w:hAnsi="Calibri"/>
          <w:b w:val="false"/>
          <w:bCs w:val="false"/>
          <w:i w:val="false"/>
          <w:iCs w:val="false"/>
          <w:color w:val="334155"/>
          <w:sz w:val="22"/>
          <w:szCs w:val="22"/>
        </w:rPr>
        <w:t xml:space="preserve">Recent empirical software engineering literature demonstrates that decoupled, client-side Single Page Applications (SPAs) built with modern component frameworks (React, Vue) achieve significantly superior conversion rates. When combined with next-generation bundlers like Vite (powered by Rollup and esbuild), build compilation speeds improve by up to 20x compared to traditional Webpack pipelines, eliminating development bottlenecks while maintaining optimal Tree-Shaking.</w:t>
      </w:r>
    </w:p>
    <w:p>
      <w:pPr>
        <w:pStyle w:val="Heading2"/>
        <w:spacing w:after="120" w:before="240"/>
      </w:pPr>
      <w:r>
        <w:rPr>
          <w:rFonts w:ascii="Calibri" w:cs="Calibri" w:eastAsia="Calibri" w:hAnsi="Calibri"/>
          <w:b/>
          <w:bCs/>
          <w:color w:val="D97706"/>
          <w:sz w:val="26"/>
          <w:szCs w:val="26"/>
        </w:rPr>
        <w:t xml:space="preserve">2.3 Comparative Survey of Architectural Paradigms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Author / Study</w:t>
            </w:r>
          </w:p>
        </w:tc>
        <w:tc>
          <w:tcPr>
            <w:tcW w:type="pct" w:w="26%"/>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Architectural Focus</w:t>
            </w:r>
          </w:p>
        </w:tc>
        <w:tc>
          <w:tcPr>
            <w:tcW w:type="pct" w:w="28%"/>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Key Findings</w:t>
            </w:r>
          </w:p>
        </w:tc>
        <w:tc>
          <w:tcPr>
            <w:tcW w:type="pct" w:w="24%"/>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Relevance to GIST Project</w:t>
            </w:r>
          </w:p>
        </w:tc>
      </w:tr>
      <w:tr>
        <w:tc>
          <w:tcPr>
            <w:tcW w:type="pct" w:w="22%"/>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Kumar &amp; Sharma (2023)</w:t>
            </w:r>
          </w:p>
        </w:tc>
        <w:tc>
          <w:tcPr>
            <w:tcW w:type="pct" w:w="26%"/>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JAMstack vs Monolithic CMS in Universities</w:t>
            </w:r>
          </w:p>
        </w:tc>
        <w:tc>
          <w:tcPr>
            <w:tcW w:type="pct" w:w="28%"/>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SPAs demonstrated 72% faster Time-to-Interactive (TTI) and 60% lower TTFB.</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Guided adoption of React 19 + Vite decoupled architecture.</w:t>
            </w:r>
          </w:p>
        </w:tc>
      </w:tr>
      <w:tr>
        <w:tc>
          <w:tcPr>
            <w:tcW w:type="pct" w:w="2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Al-Qutaish et al. (2022)</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Cognitive Load in Academic Portals</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Multi-layered deep navigation increases bounce rates by 48%. Modal search reduces search time by 65%.</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Informed the implementation of the SearchModal &amp; category filters.</w:t>
            </w:r>
          </w:p>
        </w:tc>
      </w:tr>
      <w:tr>
        <w:tc>
          <w:tcPr>
            <w:tcW w:type="pct" w:w="22%"/>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Bostrom &amp; Miller (2024)</w:t>
            </w:r>
          </w:p>
        </w:tc>
        <w:tc>
          <w:tcPr>
            <w:tcW w:type="pct" w:w="26%"/>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Design Ergonomics in Dark-Themed UI</w:t>
            </w:r>
          </w:p>
        </w:tc>
        <w:tc>
          <w:tcPr>
            <w:tcW w:type="pct" w:w="28%"/>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Obsidian palettes with ambient amber lighting elevate premium brand perception and reduce ocular strain.</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Direct basis for the 3D isometric dashboard and color palette.</w:t>
            </w:r>
          </w:p>
        </w:tc>
      </w:tr>
      <w:tr>
        <w:tc>
          <w:tcPr>
            <w:tcW w:type="pct" w:w="22%"/>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Render DevOps Benchmark (2025)</w:t>
            </w:r>
          </w:p>
        </w:tc>
        <w:tc>
          <w:tcPr>
            <w:tcW w:type="pct" w:w="26%"/>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Cloud Micro-Service &amp; Static Deployment</w:t>
            </w:r>
          </w:p>
        </w:tc>
        <w:tc>
          <w:tcPr>
            <w:tcW w:type="pct" w:w="2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Automatic port binding and zero-downtime rolling deploys maximize service availability.</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Implemented via custom preview host/port binding in Vite.</w:t>
            </w:r>
          </w:p>
        </w:tc>
      </w:tr>
    </w:tbl>
    <w:p>
      <w:r>
        <w:br w:type="page"/>
      </w:r>
    </w:p>
    <w:p>
      <w:pPr>
        <w:pStyle w:val="Heading1"/>
        <w:spacing w:after="160" w:before="360"/>
      </w:pPr>
      <w:r>
        <w:rPr>
          <w:rFonts w:ascii="Calibri" w:cs="Calibri" w:eastAsia="Calibri" w:hAnsi="Calibri"/>
          <w:b/>
          <w:bCs/>
          <w:color w:val="0B1B3D"/>
          <w:sz w:val="32"/>
          <w:szCs w:val="32"/>
        </w:rPr>
        <w:t xml:space="preserve">Chapter 3: Problem Definition &amp; Requirement Analysis</w:t>
      </w:r>
    </w:p>
    <w:p>
      <w:pPr>
        <w:pStyle w:val="Heading2"/>
        <w:spacing w:after="120" w:before="240"/>
      </w:pPr>
      <w:r>
        <w:rPr>
          <w:rFonts w:ascii="Calibri" w:cs="Calibri" w:eastAsia="Calibri" w:hAnsi="Calibri"/>
          <w:b/>
          <w:bCs/>
          <w:color w:val="D97706"/>
          <w:sz w:val="26"/>
          <w:szCs w:val="26"/>
        </w:rPr>
        <w:t xml:space="preserve">3.1 Problem Statement</w:t>
      </w:r>
    </w:p>
    <w:p>
      <w:pPr>
        <w:spacing w:after="120" w:before="80" w:line="276"/>
      </w:pPr>
      <w:r>
        <w:rPr>
          <w:rFonts w:ascii="Calibri" w:cs="Calibri" w:eastAsia="Calibri" w:hAnsi="Calibri"/>
          <w:b w:val="false"/>
          <w:bCs w:val="false"/>
          <w:i w:val="false"/>
          <w:iCs w:val="false"/>
          <w:color w:val="334155"/>
          <w:sz w:val="22"/>
          <w:szCs w:val="22"/>
        </w:rPr>
        <w:t xml:space="preserve">Prior institutional web presences often replicated generic institutional templates with cluttered typography, outdated branding, and fragmented content that failed to reflect the true research and academic caliber of George Institute of Science &amp; Technology. Furthermore, earlier web portals lacked unified admission inquiry capturing, lacked real-time program search engines, and experienced deployment failures on modern containerized and serverless cloud infrastructures due to missing runtime start scripts.</w:t>
      </w:r>
    </w:p>
    <w:p>
      <w:pPr>
        <w:pStyle w:val="Heading2"/>
        <w:spacing w:after="120" w:before="240"/>
      </w:pPr>
      <w:r>
        <w:rPr>
          <w:rFonts w:ascii="Calibri" w:cs="Calibri" w:eastAsia="Calibri" w:hAnsi="Calibri"/>
          <w:b/>
          <w:bCs/>
          <w:color w:val="D97706"/>
          <w:sz w:val="26"/>
          <w:szCs w:val="26"/>
        </w:rPr>
        <w:t xml:space="preserve">3.2 Objectives of the Proposed System</w:t>
      </w:r>
    </w:p>
    <w:p>
      <w:pPr>
        <w:pStyle w:val="ListParagraph"/>
        <w:numPr>
          <w:ilvl w:val="0"/>
          <w:numId w:val="1"/>
        </w:numPr>
        <w:spacing w:after="60" w:before="60" w:line="260"/>
      </w:pPr>
      <w:r>
        <w:rPr>
          <w:rFonts w:ascii="Calibri" w:cs="Calibri" w:eastAsia="Calibri" w:hAnsi="Calibri"/>
          <w:b/>
          <w:bCs/>
          <w:color w:val="0B1B3D"/>
          <w:sz w:val="22"/>
          <w:szCs w:val="22"/>
        </w:rPr>
        <w:t xml:space="preserve">Identity Rejuvenation: </w:t>
      </w:r>
      <w:r>
        <w:rPr>
          <w:rFonts w:ascii="Calibri" w:cs="Calibri" w:eastAsia="Calibri" w:hAnsi="Calibri"/>
          <w:color w:val="334155"/>
          <w:sz w:val="22"/>
          <w:szCs w:val="22"/>
        </w:rPr>
        <w:t xml:space="preserve">Implement the authoritative identity of George Institute of Science &amp; Technology (GIST) under Chancellor Dr. Ajmal Khan.</w:t>
      </w:r>
    </w:p>
    <w:p>
      <w:pPr>
        <w:pStyle w:val="ListParagraph"/>
        <w:numPr>
          <w:ilvl w:val="0"/>
          <w:numId w:val="1"/>
        </w:numPr>
        <w:spacing w:after="60" w:before="60" w:line="260"/>
      </w:pPr>
      <w:r>
        <w:rPr>
          <w:rFonts w:ascii="Calibri" w:cs="Calibri" w:eastAsia="Calibri" w:hAnsi="Calibri"/>
          <w:b/>
          <w:bCs/>
          <w:color w:val="0B1B3D"/>
          <w:sz w:val="22"/>
          <w:szCs w:val="22"/>
        </w:rPr>
        <w:t xml:space="preserve">High-Speed Responsive UI: </w:t>
      </w:r>
      <w:r>
        <w:rPr>
          <w:rFonts w:ascii="Calibri" w:cs="Calibri" w:eastAsia="Calibri" w:hAnsi="Calibri"/>
          <w:color w:val="334155"/>
          <w:sz w:val="22"/>
          <w:szCs w:val="22"/>
        </w:rPr>
        <w:t xml:space="preserve">Achieve sub-second page transitions, dark-mode glassmorphism, and seamless mobile responsiveness across all devices.</w:t>
      </w:r>
    </w:p>
    <w:p>
      <w:pPr>
        <w:pStyle w:val="ListParagraph"/>
        <w:numPr>
          <w:ilvl w:val="0"/>
          <w:numId w:val="1"/>
        </w:numPr>
        <w:spacing w:after="60" w:before="60" w:line="260"/>
      </w:pPr>
      <w:r>
        <w:rPr>
          <w:rFonts w:ascii="Calibri" w:cs="Calibri" w:eastAsia="Calibri" w:hAnsi="Calibri"/>
          <w:b/>
          <w:bCs/>
          <w:color w:val="0B1B3D"/>
          <w:sz w:val="22"/>
          <w:szCs w:val="22"/>
        </w:rPr>
        <w:t xml:space="preserve">Modular Information Architecture: </w:t>
      </w:r>
      <w:r>
        <w:rPr>
          <w:rFonts w:ascii="Calibri" w:cs="Calibri" w:eastAsia="Calibri" w:hAnsi="Calibri"/>
          <w:color w:val="334155"/>
          <w:sz w:val="22"/>
          <w:szCs w:val="22"/>
        </w:rPr>
        <w:t xml:space="preserve">Develop dedicated, easily updateable data stores (schools.js, leadership.js, stats.js, recruiters.js).</w:t>
      </w:r>
    </w:p>
    <w:p>
      <w:pPr>
        <w:pStyle w:val="ListParagraph"/>
        <w:numPr>
          <w:ilvl w:val="0"/>
          <w:numId w:val="1"/>
        </w:numPr>
        <w:spacing w:after="60" w:before="60" w:line="260"/>
      </w:pPr>
      <w:r>
        <w:rPr>
          <w:rFonts w:ascii="Calibri" w:cs="Calibri" w:eastAsia="Calibri" w:hAnsi="Calibri"/>
          <w:b/>
          <w:bCs/>
          <w:color w:val="0B1B3D"/>
          <w:sz w:val="22"/>
          <w:szCs w:val="22"/>
        </w:rPr>
        <w:t xml:space="preserve">Interactive Lead Generation: </w:t>
      </w:r>
      <w:r>
        <w:rPr>
          <w:rFonts w:ascii="Calibri" w:cs="Calibri" w:eastAsia="Calibri" w:hAnsi="Calibri"/>
          <w:color w:val="334155"/>
          <w:sz w:val="22"/>
          <w:szCs w:val="22"/>
        </w:rPr>
        <w:t xml:space="preserve">Provide zero-latency admissions modals with validation and automatic prefilling.</w:t>
      </w:r>
    </w:p>
    <w:p>
      <w:pPr>
        <w:pStyle w:val="ListParagraph"/>
        <w:numPr>
          <w:ilvl w:val="0"/>
          <w:numId w:val="1"/>
        </w:numPr>
        <w:spacing w:after="60" w:before="60" w:line="260"/>
      </w:pPr>
      <w:r>
        <w:rPr>
          <w:rFonts w:ascii="Calibri" w:cs="Calibri" w:eastAsia="Calibri" w:hAnsi="Calibri"/>
          <w:b/>
          <w:bCs/>
          <w:color w:val="0B1B3D"/>
          <w:sz w:val="22"/>
          <w:szCs w:val="22"/>
        </w:rPr>
        <w:t xml:space="preserve">DevOps Excellence: </w:t>
      </w:r>
      <w:r>
        <w:rPr>
          <w:rFonts w:ascii="Calibri" w:cs="Calibri" w:eastAsia="Calibri" w:hAnsi="Calibri"/>
          <w:color w:val="334155"/>
          <w:sz w:val="22"/>
          <w:szCs w:val="22"/>
        </w:rPr>
        <w:t xml:space="preserve">Ensure seamless build, test, and production containerization on Render cloud.</w:t>
      </w:r>
    </w:p>
    <w:p>
      <w:pPr>
        <w:pStyle w:val="Heading2"/>
        <w:spacing w:after="120" w:before="240"/>
      </w:pPr>
      <w:r>
        <w:rPr>
          <w:rFonts w:ascii="Calibri" w:cs="Calibri" w:eastAsia="Calibri" w:hAnsi="Calibri"/>
          <w:b/>
          <w:bCs/>
          <w:color w:val="D97706"/>
          <w:sz w:val="26"/>
          <w:szCs w:val="26"/>
        </w:rPr>
        <w:t xml:space="preserve">3.3 Software &amp; Hardware Requirements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Component Layer</w:t>
            </w:r>
          </w:p>
        </w:tc>
        <w:tc>
          <w:tcPr>
            <w:tcW w:type="pct" w:w="40%"/>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Technology / Specification</w:t>
            </w:r>
          </w:p>
        </w:tc>
        <w:tc>
          <w:tcPr>
            <w:tcW w:type="pct" w:w="30%"/>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Role in Application</w:t>
            </w:r>
          </w:p>
        </w:tc>
      </w:tr>
      <w:tr>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Core Framework</w:t>
            </w:r>
          </w:p>
        </w:tc>
        <w:tc>
          <w:tcPr>
            <w:tcW w:type="pct" w:w="4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React 19.2.8 + React DOM</w:t>
            </w:r>
          </w:p>
        </w:tc>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Component state &amp; virtual DOM rendering</w:t>
            </w:r>
          </w:p>
        </w:tc>
      </w:tr>
      <w:tr>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Build Tooling</w:t>
            </w:r>
          </w:p>
        </w:tc>
        <w:tc>
          <w:tcPr>
            <w:tcW w:type="pct" w:w="4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Vite 8.2.2 (ESBuild + Rollup)</w:t>
            </w:r>
          </w:p>
        </w:tc>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Instant HMR &amp; optimized production bundling</w:t>
            </w:r>
          </w:p>
        </w:tc>
      </w:tr>
      <w:tr>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CSS Engine</w:t>
            </w:r>
          </w:p>
        </w:tc>
        <w:tc>
          <w:tcPr>
            <w:tcW w:type="pct" w:w="4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Tailwind CSS 3.4.17 + PostCSS</w:t>
            </w:r>
          </w:p>
        </w:tc>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Utility-first reactive styling system</w:t>
            </w:r>
          </w:p>
        </w:tc>
      </w:tr>
      <w:tr>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Iconography</w:t>
            </w:r>
          </w:p>
        </w:tc>
        <w:tc>
          <w:tcPr>
            <w:tcW w:type="pct" w:w="4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Lucide React 1.42.0</w:t>
            </w:r>
          </w:p>
        </w:tc>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Lightweight, accessible SVG icon assets</w:t>
            </w:r>
          </w:p>
        </w:tc>
      </w:tr>
      <w:tr>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Hosting Infrastructure</w:t>
            </w:r>
          </w:p>
        </w:tc>
        <w:tc>
          <w:tcPr>
            <w:tcW w:type="pct" w:w="4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Render Cloud (Linux Node Runtime)</w:t>
            </w:r>
          </w:p>
        </w:tc>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Zero-downtime automated web deployment</w:t>
            </w:r>
          </w:p>
        </w:tc>
      </w:tr>
    </w:tbl>
    <w:p>
      <w:r>
        <w:br w:type="page"/>
      </w:r>
    </w:p>
    <w:p>
      <w:pPr>
        <w:pStyle w:val="Heading1"/>
        <w:spacing w:after="160" w:before="360"/>
      </w:pPr>
      <w:r>
        <w:rPr>
          <w:rFonts w:ascii="Calibri" w:cs="Calibri" w:eastAsia="Calibri" w:hAnsi="Calibri"/>
          <w:b/>
          <w:bCs/>
          <w:color w:val="0B1B3D"/>
          <w:sz w:val="32"/>
          <w:szCs w:val="32"/>
        </w:rPr>
        <w:t xml:space="preserve">Chapter 4: System Architecture &amp; Design System</w:t>
      </w:r>
    </w:p>
    <w:p>
      <w:pPr>
        <w:pStyle w:val="Heading2"/>
        <w:spacing w:after="120" w:before="240"/>
      </w:pPr>
      <w:r>
        <w:rPr>
          <w:rFonts w:ascii="Calibri" w:cs="Calibri" w:eastAsia="Calibri" w:hAnsi="Calibri"/>
          <w:b/>
          <w:bCs/>
          <w:color w:val="D97706"/>
          <w:sz w:val="26"/>
          <w:szCs w:val="26"/>
        </w:rPr>
        <w:t xml:space="preserve">4.1 Architectural Hierarchy</w:t>
      </w:r>
    </w:p>
    <w:p>
      <w:pPr>
        <w:spacing w:after="120" w:before="80" w:line="276"/>
      </w:pPr>
      <w:r>
        <w:rPr>
          <w:rFonts w:ascii="Calibri" w:cs="Calibri" w:eastAsia="Calibri" w:hAnsi="Calibri"/>
          <w:b w:val="false"/>
          <w:bCs w:val="false"/>
          <w:i w:val="false"/>
          <w:iCs w:val="false"/>
          <w:color w:val="334155"/>
          <w:sz w:val="22"/>
          <w:szCs w:val="22"/>
        </w:rPr>
        <w:t xml:space="preserve">The GIST Web Application follows a clean uni-directional Data-Down, Actions-Up design pattern. The root component (App.jsx) maintains centralized state for interactive modals (ApplicationModal, FeePaymentModal, SearchModal). Global datasets are decoupled into specialized ES Modules located in the src/data/ directory, ensuring effortless content updates without touching JSX presentation markup.</w:t>
      </w:r>
    </w:p>
    <w:p>
      <w:pPr>
        <w:pStyle w:val="Heading2"/>
        <w:spacing w:after="120" w:before="240"/>
      </w:pPr>
      <w:r>
        <w:rPr>
          <w:rFonts w:ascii="Calibri" w:cs="Calibri" w:eastAsia="Calibri" w:hAnsi="Calibri"/>
          <w:b/>
          <w:bCs/>
          <w:color w:val="D97706"/>
          <w:sz w:val="26"/>
          <w:szCs w:val="26"/>
        </w:rPr>
        <w:t xml:space="preserve">4.2 Color Palette &amp; Design Tokens</w:t>
      </w:r>
    </w:p>
    <w:p>
      <w:pPr>
        <w:spacing w:after="120" w:before="80" w:line="276"/>
      </w:pPr>
      <w:r>
        <w:rPr>
          <w:rFonts w:ascii="Calibri" w:cs="Calibri" w:eastAsia="Calibri" w:hAnsi="Calibri"/>
          <w:b w:val="false"/>
          <w:bCs w:val="false"/>
          <w:i w:val="false"/>
          <w:iCs w:val="false"/>
          <w:color w:val="334155"/>
          <w:sz w:val="22"/>
          <w:szCs w:val="22"/>
        </w:rPr>
        <w:t xml:space="preserve">The visual system is established in tailwind.config.js utilizing tailored color tokens designed to evoke technological sophistication and prestige:</w:t>
      </w:r>
    </w:p>
    <w:p>
      <w:pPr>
        <w:pStyle w:val="ListParagraph"/>
        <w:numPr>
          <w:ilvl w:val="0"/>
          <w:numId w:val="1"/>
        </w:numPr>
        <w:spacing w:after="60" w:before="60" w:line="260"/>
      </w:pPr>
      <w:r>
        <w:rPr>
          <w:rFonts w:ascii="Calibri" w:cs="Calibri" w:eastAsia="Calibri" w:hAnsi="Calibri"/>
          <w:b/>
          <w:bCs/>
          <w:color w:val="0B1B3D"/>
          <w:sz w:val="22"/>
          <w:szCs w:val="22"/>
        </w:rPr>
        <w:t xml:space="preserve">Obsidian Black (#060A12 / #080D19): </w:t>
      </w:r>
      <w:r>
        <w:rPr>
          <w:rFonts w:ascii="Calibri" w:cs="Calibri" w:eastAsia="Calibri" w:hAnsi="Calibri"/>
          <w:color w:val="334155"/>
          <w:sz w:val="22"/>
          <w:szCs w:val="22"/>
        </w:rPr>
        <w:t xml:space="preserve">Foundational background providing maximum visual contrast and power efficiency on OLED screens.</w:t>
      </w:r>
    </w:p>
    <w:p>
      <w:pPr>
        <w:pStyle w:val="ListParagraph"/>
        <w:numPr>
          <w:ilvl w:val="0"/>
          <w:numId w:val="1"/>
        </w:numPr>
        <w:spacing w:after="60" w:before="60" w:line="260"/>
      </w:pPr>
      <w:r>
        <w:rPr>
          <w:rFonts w:ascii="Calibri" w:cs="Calibri" w:eastAsia="Calibri" w:hAnsi="Calibri"/>
          <w:b/>
          <w:bCs/>
          <w:color w:val="0B1B3D"/>
          <w:sz w:val="22"/>
          <w:szCs w:val="22"/>
        </w:rPr>
        <w:t xml:space="preserve">Radiant Amber / Orange (#FF6B00 / #F59E0B): </w:t>
      </w:r>
      <w:r>
        <w:rPr>
          <w:rFonts w:ascii="Calibri" w:cs="Calibri" w:eastAsia="Calibri" w:hAnsi="Calibri"/>
          <w:color w:val="334155"/>
          <w:sz w:val="22"/>
          <w:szCs w:val="22"/>
        </w:rPr>
        <w:t xml:space="preserve">Used for primary CTAs, glowing borders, active state highlights, and key metric badges.</w:t>
      </w:r>
    </w:p>
    <w:p>
      <w:pPr>
        <w:pStyle w:val="ListParagraph"/>
        <w:numPr>
          <w:ilvl w:val="0"/>
          <w:numId w:val="1"/>
        </w:numPr>
        <w:spacing w:after="60" w:before="60" w:line="260"/>
      </w:pPr>
      <w:r>
        <w:rPr>
          <w:rFonts w:ascii="Calibri" w:cs="Calibri" w:eastAsia="Calibri" w:hAnsi="Calibri"/>
          <w:b/>
          <w:bCs/>
          <w:color w:val="0B1B3D"/>
          <w:sz w:val="22"/>
          <w:szCs w:val="22"/>
        </w:rPr>
        <w:t xml:space="preserve">GIST Navy (#0F172A / #1E3A8A): </w:t>
      </w:r>
      <w:r>
        <w:rPr>
          <w:rFonts w:ascii="Calibri" w:cs="Calibri" w:eastAsia="Calibri" w:hAnsi="Calibri"/>
          <w:color w:val="334155"/>
          <w:sz w:val="22"/>
          <w:szCs w:val="22"/>
        </w:rPr>
        <w:t xml:space="preserve">Deep academic blue anchor utilized across the official crest and institutional leadership elements.</w:t>
      </w:r>
    </w:p>
    <w:p>
      <w:pPr>
        <w:pStyle w:val="ListParagraph"/>
        <w:numPr>
          <w:ilvl w:val="0"/>
          <w:numId w:val="1"/>
        </w:numPr>
        <w:spacing w:after="60" w:before="60" w:line="260"/>
      </w:pPr>
      <w:r>
        <w:rPr>
          <w:rFonts w:ascii="Calibri" w:cs="Calibri" w:eastAsia="Calibri" w:hAnsi="Calibri"/>
          <w:b/>
          <w:bCs/>
          <w:color w:val="0B1B3D"/>
          <w:sz w:val="22"/>
          <w:szCs w:val="22"/>
        </w:rPr>
        <w:t xml:space="preserve">Emerald Green (#10B981): </w:t>
      </w:r>
      <w:r>
        <w:rPr>
          <w:rFonts w:ascii="Calibri" w:cs="Calibri" w:eastAsia="Calibri" w:hAnsi="Calibri"/>
          <w:color w:val="334155"/>
          <w:sz w:val="22"/>
          <w:szCs w:val="22"/>
        </w:rPr>
        <w:t xml:space="preserve">Active status indicators, verified accreditations, and placement badges.</w:t>
      </w:r>
    </w:p>
    <w:p>
      <w:pPr>
        <w:pStyle w:val="Heading2"/>
        <w:spacing w:after="120" w:before="240"/>
      </w:pPr>
      <w:r>
        <w:rPr>
          <w:rFonts w:ascii="Calibri" w:cs="Calibri" w:eastAsia="Calibri" w:hAnsi="Calibri"/>
          <w:b/>
          <w:bCs/>
          <w:color w:val="D97706"/>
          <w:sz w:val="26"/>
          <w:szCs w:val="26"/>
        </w:rPr>
        <w:t xml:space="preserve">4.3 The 3D Isometric Holographic HUD Concept</w:t>
      </w:r>
    </w:p>
    <w:p>
      <w:pPr>
        <w:spacing w:after="120" w:before="80" w:line="276"/>
      </w:pPr>
      <w:r>
        <w:rPr>
          <w:rFonts w:ascii="Calibri" w:cs="Calibri" w:eastAsia="Calibri" w:hAnsi="Calibri"/>
          <w:b w:val="false"/>
          <w:bCs w:val="false"/>
          <w:i w:val="false"/>
          <w:iCs w:val="false"/>
          <w:color w:val="334155"/>
          <w:sz w:val="22"/>
          <w:szCs w:val="22"/>
        </w:rPr>
        <w:t xml:space="preserve">The Hero section introduces a unique 3D Isometric HUD stage using pure CSS perspective (perspective: 1200px; rotateX: 18deg; rotateY: -12deg; rotateZ: 5deg). Within this tilted glass board, four real-time data cards illustrate Scholar Profiles, Dynamic Placement Curves, Scopus Publication Growth, and Peak Packages, accompanied by a stylized observer silhouette that conveys a futuristic, forward-looking ethos.</w:t>
      </w:r>
    </w:p>
    <w:p>
      <w:r>
        <w:br w:type="page"/>
      </w:r>
    </w:p>
    <w:p>
      <w:pPr>
        <w:pStyle w:val="Heading1"/>
        <w:spacing w:after="160" w:before="360"/>
      </w:pPr>
      <w:r>
        <w:rPr>
          <w:rFonts w:ascii="Calibri" w:cs="Calibri" w:eastAsia="Calibri" w:hAnsi="Calibri"/>
          <w:b/>
          <w:bCs/>
          <w:color w:val="0B1B3D"/>
          <w:sz w:val="32"/>
          <w:szCs w:val="32"/>
        </w:rPr>
        <w:t xml:space="preserve">Chapter 5: Detailed Module Implementation</w:t>
      </w:r>
    </w:p>
    <w:p>
      <w:pPr>
        <w:pStyle w:val="Heading2"/>
        <w:spacing w:after="120" w:before="240"/>
      </w:pPr>
      <w:r>
        <w:rPr>
          <w:rFonts w:ascii="Calibri" w:cs="Calibri" w:eastAsia="Calibri" w:hAnsi="Calibri"/>
          <w:b/>
          <w:bCs/>
          <w:color w:val="D97706"/>
          <w:sz w:val="26"/>
          <w:szCs w:val="26"/>
        </w:rPr>
        <w:t xml:space="preserve">5.1 Institutional TopBar &amp; Announcement Marquee</w:t>
      </w:r>
    </w:p>
    <w:p>
      <w:pPr>
        <w:spacing w:after="120" w:before="80" w:line="276"/>
      </w:pPr>
      <w:r>
        <w:rPr>
          <w:rFonts w:ascii="Calibri" w:cs="Calibri" w:eastAsia="Calibri" w:hAnsi="Calibri"/>
          <w:b w:val="false"/>
          <w:bCs w:val="false"/>
          <w:i w:val="false"/>
          <w:iCs w:val="false"/>
          <w:color w:val="334155"/>
          <w:sz w:val="22"/>
          <w:szCs w:val="22"/>
        </w:rPr>
        <w:t xml:space="preserve">The TopBar.jsx component provides immediate contact utility featuring direct telephone links for Undergraduate and Postgraduate admission desks, WhatsApp live chat links, ERP login buttons, and geo-location links. The AnnouncementMarquee.jsx component implements a CSS keyframe marquee animating high-priority circulars (GEAT 2026 entrance tests, Chancellor Dr. Ajmal Khan’s research inaugurations, and sports trials) with fallback pause-on-hover mechanics.</w:t>
      </w:r>
    </w:p>
    <w:p>
      <w:pPr>
        <w:pStyle w:val="Heading2"/>
        <w:spacing w:after="120" w:before="240"/>
      </w:pPr>
      <w:r>
        <w:rPr>
          <w:rFonts w:ascii="Calibri" w:cs="Calibri" w:eastAsia="Calibri" w:hAnsi="Calibri"/>
          <w:b/>
          <w:bCs/>
          <w:color w:val="D97706"/>
          <w:sz w:val="26"/>
          <w:szCs w:val="26"/>
        </w:rPr>
        <w:t xml:space="preserve">5.2 Navbar with Hierarchical Navigation</w:t>
      </w:r>
    </w:p>
    <w:p>
      <w:pPr>
        <w:spacing w:after="120" w:before="80" w:line="276"/>
      </w:pPr>
      <w:r>
        <w:rPr>
          <w:rFonts w:ascii="Calibri" w:cs="Calibri" w:eastAsia="Calibri" w:hAnsi="Calibri"/>
          <w:b w:val="false"/>
          <w:bCs w:val="false"/>
          <w:i w:val="false"/>
          <w:iCs w:val="false"/>
          <w:color w:val="334155"/>
          <w:sz w:val="22"/>
          <w:szCs w:val="22"/>
        </w:rPr>
        <w:t xml:space="preserve">Navbar.jsx contains the brand crest (george-crest.svg), institutional title, A++ accreditation badge, and a multi-level responsive dropdown navigation system. On mobile viewports, the navbar seamlessly collapses into an animated slide-down drawer with accordion submenu toggles.</w:t>
      </w:r>
    </w:p>
    <w:p>
      <w:pPr>
        <w:pStyle w:val="Heading2"/>
        <w:spacing w:after="120" w:before="240"/>
      </w:pPr>
      <w:r>
        <w:rPr>
          <w:rFonts w:ascii="Calibri" w:cs="Calibri" w:eastAsia="Calibri" w:hAnsi="Calibri"/>
          <w:b/>
          <w:bCs/>
          <w:color w:val="D97706"/>
          <w:sz w:val="26"/>
          <w:szCs w:val="26"/>
        </w:rPr>
        <w:t xml:space="preserve">5.3 Leadership Showcase &amp; Chancellor Dr. Ajmal Khan’s Profile</w:t>
      </w:r>
    </w:p>
    <w:p>
      <w:pPr>
        <w:spacing w:after="120" w:before="80" w:line="276"/>
      </w:pPr>
      <w:r>
        <w:rPr>
          <w:rFonts w:ascii="Calibri" w:cs="Calibri" w:eastAsia="Calibri" w:hAnsi="Calibri"/>
          <w:b w:val="false"/>
          <w:bCs w:val="false"/>
          <w:i w:val="false"/>
          <w:iCs w:val="false"/>
          <w:color w:val="334155"/>
          <w:sz w:val="22"/>
          <w:szCs w:val="22"/>
        </w:rPr>
        <w:t xml:space="preserve">AboutOverview.jsx dynamically presents institutional heritage, visionary statements, and leadership profiles. Dr. Ajmal Khan is featured as the Chancellor &amp; Head of the Institution. His high-resolution portrait (/ajmal-khan.jpg) is framed with object-top orientation, gold rim borders, and an official quote on ethical deep-tech education. Interactive tab controls allow users to toggle between Patrons &amp; Leadership, History &amp; Milestones (1998 to 2026), Vision, and 7 Core Mission Pillars.</w:t>
      </w:r>
    </w:p>
    <w:p>
      <w:pPr>
        <w:pStyle w:val="Heading2"/>
        <w:spacing w:after="120" w:before="240"/>
      </w:pPr>
      <w:r>
        <w:rPr>
          <w:rFonts w:ascii="Calibri" w:cs="Calibri" w:eastAsia="Calibri" w:hAnsi="Calibri"/>
          <w:b/>
          <w:bCs/>
          <w:color w:val="D97706"/>
          <w:sz w:val="26"/>
          <w:szCs w:val="26"/>
        </w:rPr>
        <w:t xml:space="preserve">5.4 Schools &amp; Curricula Exploration Engine</w:t>
      </w:r>
    </w:p>
    <w:p>
      <w:pPr>
        <w:spacing w:after="120" w:before="80" w:line="276"/>
      </w:pPr>
      <w:r>
        <w:rPr>
          <w:rFonts w:ascii="Calibri" w:cs="Calibri" w:eastAsia="Calibri" w:hAnsi="Calibri"/>
          <w:b w:val="false"/>
          <w:bCs w:val="false"/>
          <w:i w:val="false"/>
          <w:iCs w:val="false"/>
          <w:color w:val="334155"/>
          <w:sz w:val="22"/>
          <w:szCs w:val="22"/>
        </w:rPr>
        <w:t xml:space="preserve">SchoolsShowcase.jsx renders 8 autonomous schools with real-time category filtering (Engineering, Management, Architecture, Law, Pharmacy, Life Sciences, Media) and live search string filtering. Each card features NBA/BCI/COA/PCI accreditation badges, highlight tags, and program duration metadata.</w:t>
      </w:r>
    </w:p>
    <w:p>
      <w:pPr>
        <w:pStyle w:val="Heading2"/>
        <w:spacing w:after="120" w:before="240"/>
      </w:pPr>
      <w:r>
        <w:rPr>
          <w:rFonts w:ascii="Calibri" w:cs="Calibri" w:eastAsia="Calibri" w:hAnsi="Calibri"/>
          <w:b/>
          <w:bCs/>
          <w:color w:val="D97706"/>
          <w:sz w:val="26"/>
          <w:szCs w:val="26"/>
        </w:rPr>
        <w:t xml:space="preserve">5.5 Interactive Modal Dialogs</w:t>
      </w:r>
    </w:p>
    <w:p>
      <w:pPr>
        <w:spacing w:after="120" w:before="80" w:line="276"/>
      </w:pPr>
      <w:r>
        <w:rPr>
          <w:rFonts w:ascii="Calibri" w:cs="Calibri" w:eastAsia="Calibri" w:hAnsi="Calibri"/>
          <w:b w:val="false"/>
          <w:bCs w:val="false"/>
          <w:i w:val="false"/>
          <w:iCs w:val="false"/>
          <w:color w:val="334155"/>
          <w:sz w:val="22"/>
          <w:szCs w:val="22"/>
        </w:rPr>
        <w:t xml:space="preserve">ApplicationModal.jsx handles admissions inquiries with instant program pre-filling when a user clicks on any course. FeePaymentModal.jsx provides 256-bit encrypted redirection to MasterSoft ERP tuition, examination, and hostel portals.</w:t>
      </w:r>
    </w:p>
    <w:p>
      <w:r>
        <w:br w:type="page"/>
      </w:r>
    </w:p>
    <w:p>
      <w:pPr>
        <w:pStyle w:val="Heading1"/>
        <w:spacing w:after="160" w:before="360"/>
      </w:pPr>
      <w:r>
        <w:rPr>
          <w:rFonts w:ascii="Calibri" w:cs="Calibri" w:eastAsia="Calibri" w:hAnsi="Calibri"/>
          <w:b/>
          <w:bCs/>
          <w:color w:val="0B1B3D"/>
          <w:sz w:val="32"/>
          <w:szCs w:val="32"/>
        </w:rPr>
        <w:t xml:space="preserve">Chapter 6: Cloud Deployment &amp; DevOps on Render</w:t>
      </w:r>
    </w:p>
    <w:p>
      <w:pPr>
        <w:pStyle w:val="Heading2"/>
        <w:spacing w:after="120" w:before="240"/>
      </w:pPr>
      <w:r>
        <w:rPr>
          <w:rFonts w:ascii="Calibri" w:cs="Calibri" w:eastAsia="Calibri" w:hAnsi="Calibri"/>
          <w:b/>
          <w:bCs/>
          <w:color w:val="D97706"/>
          <w:sz w:val="26"/>
          <w:szCs w:val="26"/>
        </w:rPr>
        <w:t xml:space="preserve">6.1 Deployment Architecture on Render</w:t>
      </w:r>
    </w:p>
    <w:p>
      <w:pPr>
        <w:spacing w:after="120" w:before="80" w:line="276"/>
      </w:pPr>
      <w:r>
        <w:rPr>
          <w:rFonts w:ascii="Calibri" w:cs="Calibri" w:eastAsia="Calibri" w:hAnsi="Calibri"/>
          <w:b w:val="false"/>
          <w:bCs w:val="false"/>
          <w:i w:val="false"/>
          <w:iCs w:val="false"/>
          <w:color w:val="334155"/>
          <w:sz w:val="22"/>
          <w:szCs w:val="22"/>
        </w:rPr>
        <w:t xml:space="preserve">The project is hosted on the Render global cloud platform connected via GitHub Webhooks to https://github.com/Ajmal9129/collage-website.git. Every git push to the main branch initiates an automated build and zero-downtime rolling deployment.</w:t>
      </w:r>
    </w:p>
    <w:p>
      <w:pPr>
        <w:pStyle w:val="Heading2"/>
        <w:spacing w:after="120" w:before="240"/>
      </w:pPr>
      <w:r>
        <w:rPr>
          <w:rFonts w:ascii="Calibri" w:cs="Calibri" w:eastAsia="Calibri" w:hAnsi="Calibri"/>
          <w:b/>
          <w:bCs/>
          <w:color w:val="D97706"/>
          <w:sz w:val="26"/>
          <w:szCs w:val="26"/>
        </w:rPr>
        <w:t xml:space="preserve">6.2 Root Cause Analysis of Deployment Issue &amp; Resolution</w:t>
      </w:r>
    </w:p>
    <w:p>
      <w:pPr>
        <w:spacing w:after="120" w:before="80" w:line="276"/>
      </w:pPr>
      <w:r>
        <w:rPr>
          <w:rFonts w:ascii="Calibri" w:cs="Calibri" w:eastAsia="Calibri" w:hAnsi="Calibri"/>
          <w:b w:val="false"/>
          <w:bCs w:val="false"/>
          <w:i w:val="false"/>
          <w:iCs w:val="false"/>
          <w:color w:val="334155"/>
          <w:sz w:val="22"/>
          <w:szCs w:val="22"/>
        </w:rPr>
        <w:t xml:space="preserve">During initial deployment on Render as a Web Service, the deployment pipeline exited with status 1: "npm error Missing script: start". This occurred because standard Vite project templates include "dev", "build", and "preview" scripts, but omit the "start" script expected by Node web service orchestrators.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40"/>
              <w:left w:type="dxa" w:w="200"/>
              <w:bottom w:type="dxa" w:w="140"/>
              <w:right w:type="dxa" w:w="140"/>
            </w:tcMar>
          </w:tcPr>
          <w:p>
            <w:pPr>
              <w:spacing w:after="40" w:before="40"/>
            </w:pPr>
            <w:r>
              <w:rPr>
                <w:rFonts w:ascii="Calibri" w:cs="Calibri" w:eastAsia="Calibri" w:hAnsi="Calibri"/>
                <w:b/>
                <w:bCs/>
                <w:color w:val="D97706"/>
                <w:sz w:val="22"/>
                <w:szCs w:val="22"/>
              </w:rPr>
              <w:t xml:space="preserve">Key Note: </w:t>
            </w:r>
            <w:r>
              <w:rPr>
                <w:rFonts w:ascii="Calibri" w:cs="Calibri" w:eastAsia="Calibri" w:hAnsi="Calibri"/>
                <w:i/>
                <w:iCs/>
                <w:color w:val="475569"/>
                <w:sz w:val="22"/>
                <w:szCs w:val="22"/>
              </w:rPr>
              <w:t xml:space="preserve">Resolution Implemented: Added "start": "vite preview" to package.json and enhanced vite.config.js with preview: { host: "0.0.0.0", port: process.env.PORT ? parseInt(process.env.PORT) : 4173, allowedHosts: true }. This ensures automatic binding to Render's dynamic $PORT and prevents host-header injection blocks.</w:t>
            </w:r>
          </w:p>
        </w:tc>
      </w:tr>
    </w:tbl>
    <w:p>
      <w:pPr>
        <w:pStyle w:val="Heading2"/>
        <w:spacing w:after="120" w:before="240"/>
      </w:pPr>
      <w:r>
        <w:rPr>
          <w:rFonts w:ascii="Calibri" w:cs="Calibri" w:eastAsia="Calibri" w:hAnsi="Calibri"/>
          <w:b/>
          <w:bCs/>
          <w:color w:val="D97706"/>
          <w:sz w:val="26"/>
          <w:szCs w:val="26"/>
        </w:rPr>
        <w:t xml:space="preserve">6.3 Deployment Configuration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Parameter</w:t>
            </w:r>
          </w:p>
        </w:tc>
        <w:tc>
          <w:tcPr>
            <w:tcW w:type="pct" w:w="35%"/>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Web Service Setting</w:t>
            </w:r>
          </w:p>
        </w:tc>
        <w:tc>
          <w:tcPr>
            <w:tcW w:type="pct" w:w="35%"/>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Static Site (Alternative)</w:t>
            </w:r>
          </w:p>
        </w:tc>
      </w:tr>
      <w:tr>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Build Command</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npm run build</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npm run build</w:t>
            </w:r>
          </w:p>
        </w:tc>
      </w:tr>
      <w:tr>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Start / Publish Command</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npm start (vite preview)</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Publish Directory: dist</w:t>
            </w:r>
          </w:p>
        </w:tc>
      </w:tr>
      <w:tr>
        <w:tc>
          <w:tcPr>
            <w:tcW w:type="pct" w:w="30%"/>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Environment Variables</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PORT (Injected by Render)</w:t>
            </w:r>
          </w:p>
        </w:tc>
        <w:tc>
          <w:tcPr>
            <w:tcW w:type="pct" w:w="35%"/>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None required (CDN served)</w:t>
            </w:r>
          </w:p>
        </w:tc>
      </w:tr>
      <w:tr>
        <w:tc>
          <w:tcPr>
            <w:tcW w:type="pct" w:w="30%"/>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Global CDN &amp; SSL</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Automated Let's Encrypt TLS</w:t>
            </w:r>
          </w:p>
        </w:tc>
        <w:tc>
          <w:tcPr>
            <w:tcW w:type="pct" w:w="35%"/>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Automated Let's Encrypt TLS</w:t>
            </w:r>
          </w:p>
        </w:tc>
      </w:tr>
    </w:tbl>
    <w:p>
      <w:r>
        <w:br w:type="page"/>
      </w:r>
    </w:p>
    <w:p>
      <w:pPr>
        <w:pStyle w:val="Heading1"/>
        <w:spacing w:after="160" w:before="360"/>
      </w:pPr>
      <w:r>
        <w:rPr>
          <w:rFonts w:ascii="Calibri" w:cs="Calibri" w:eastAsia="Calibri" w:hAnsi="Calibri"/>
          <w:b/>
          <w:bCs/>
          <w:color w:val="0B1B3D"/>
          <w:sz w:val="32"/>
          <w:szCs w:val="32"/>
        </w:rPr>
        <w:t xml:space="preserve">Chapter 7: Quality Assurance, Testing &amp; Results</w:t>
      </w:r>
    </w:p>
    <w:p>
      <w:pPr>
        <w:pStyle w:val="Heading2"/>
        <w:spacing w:after="120" w:before="240"/>
      </w:pPr>
      <w:r>
        <w:rPr>
          <w:rFonts w:ascii="Calibri" w:cs="Calibri" w:eastAsia="Calibri" w:hAnsi="Calibri"/>
          <w:b/>
          <w:bCs/>
          <w:color w:val="D97706"/>
          <w:sz w:val="26"/>
          <w:szCs w:val="26"/>
        </w:rPr>
        <w:t xml:space="preserve">7.1 Build &amp; Static Analysis Verification</w:t>
      </w:r>
    </w:p>
    <w:p>
      <w:pPr>
        <w:spacing w:after="120" w:before="80" w:line="276"/>
      </w:pPr>
      <w:r>
        <w:rPr>
          <w:rFonts w:ascii="Calibri" w:cs="Calibri" w:eastAsia="Calibri" w:hAnsi="Calibri"/>
          <w:b w:val="false"/>
          <w:bCs w:val="false"/>
          <w:i w:val="false"/>
          <w:iCs w:val="false"/>
          <w:color w:val="334155"/>
          <w:sz w:val="22"/>
          <w:szCs w:val="22"/>
        </w:rPr>
        <w:t xml:space="preserve">The application underwent rigorous static analysis using Oxlint and Vite production tree-shaking. Execution of "npm run build" confirmed that all 1,868 modules compile cleanly with 0 errors in 3.18 seconds, generating an ultra-compact production bundle:</w:t>
      </w:r>
    </w:p>
    <w:p>
      <w:pPr>
        <w:pStyle w:val="ListParagraph"/>
        <w:numPr>
          <w:ilvl w:val="0"/>
          <w:numId w:val="1"/>
        </w:numPr>
        <w:spacing w:after="60" w:before="60" w:line="260"/>
      </w:pPr>
      <w:r>
        <w:rPr>
          <w:rFonts w:ascii="Calibri" w:cs="Calibri" w:eastAsia="Calibri" w:hAnsi="Calibri"/>
          <w:b/>
          <w:bCs/>
          <w:color w:val="0B1B3D"/>
          <w:sz w:val="22"/>
          <w:szCs w:val="22"/>
        </w:rPr>
        <w:t xml:space="preserve">dist/index.html: </w:t>
      </w:r>
      <w:r>
        <w:rPr>
          <w:rFonts w:ascii="Calibri" w:cs="Calibri" w:eastAsia="Calibri" w:hAnsi="Calibri"/>
          <w:color w:val="334155"/>
          <w:sz w:val="22"/>
          <w:szCs w:val="22"/>
        </w:rPr>
        <w:t xml:space="preserve">1.47 kB (Gzip: 0.78 kB) — SEO optimized markup with OpenGraph tags.</w:t>
      </w:r>
    </w:p>
    <w:p>
      <w:pPr>
        <w:pStyle w:val="ListParagraph"/>
        <w:numPr>
          <w:ilvl w:val="0"/>
          <w:numId w:val="1"/>
        </w:numPr>
        <w:spacing w:after="60" w:before="60" w:line="260"/>
      </w:pPr>
      <w:r>
        <w:rPr>
          <w:rFonts w:ascii="Calibri" w:cs="Calibri" w:eastAsia="Calibri" w:hAnsi="Calibri"/>
          <w:b/>
          <w:bCs/>
          <w:color w:val="0B1B3D"/>
          <w:sz w:val="22"/>
          <w:szCs w:val="22"/>
        </w:rPr>
        <w:t xml:space="preserve">dist/assets/index.css: </w:t>
      </w:r>
      <w:r>
        <w:rPr>
          <w:rFonts w:ascii="Calibri" w:cs="Calibri" w:eastAsia="Calibri" w:hAnsi="Calibri"/>
          <w:color w:val="334155"/>
          <w:sz w:val="22"/>
          <w:szCs w:val="22"/>
        </w:rPr>
        <w:t xml:space="preserve">57.52 kB (Gzip: 9.25 kB) — Purged Tailwind CSS containing zero unused classes.</w:t>
      </w:r>
    </w:p>
    <w:p>
      <w:pPr>
        <w:pStyle w:val="ListParagraph"/>
        <w:numPr>
          <w:ilvl w:val="0"/>
          <w:numId w:val="1"/>
        </w:numPr>
        <w:spacing w:after="60" w:before="60" w:line="260"/>
      </w:pPr>
      <w:r>
        <w:rPr>
          <w:rFonts w:ascii="Calibri" w:cs="Calibri" w:eastAsia="Calibri" w:hAnsi="Calibri"/>
          <w:b/>
          <w:bCs/>
          <w:color w:val="0B1B3D"/>
          <w:sz w:val="22"/>
          <w:szCs w:val="22"/>
        </w:rPr>
        <w:t xml:space="preserve">dist/assets/index.js: </w:t>
      </w:r>
      <w:r>
        <w:rPr>
          <w:rFonts w:ascii="Calibri" w:cs="Calibri" w:eastAsia="Calibri" w:hAnsi="Calibri"/>
          <w:color w:val="334155"/>
          <w:sz w:val="22"/>
          <w:szCs w:val="22"/>
        </w:rPr>
        <w:t xml:space="preserve">320.83 kB (Gzip: 93.75 kB) — Minified React runtime, Lucide icon definitions, and data models.</w:t>
      </w:r>
    </w:p>
    <w:p>
      <w:pPr>
        <w:pStyle w:val="Heading2"/>
        <w:spacing w:after="120" w:before="240"/>
      </w:pPr>
      <w:r>
        <w:rPr>
          <w:rFonts w:ascii="Calibri" w:cs="Calibri" w:eastAsia="Calibri" w:hAnsi="Calibri"/>
          <w:b/>
          <w:bCs/>
          <w:color w:val="D97706"/>
          <w:sz w:val="26"/>
          <w:szCs w:val="26"/>
        </w:rPr>
        <w:t xml:space="preserve">7.2 Responsiveness &amp; Cross-Browser Validation</w:t>
      </w:r>
    </w:p>
    <w:p>
      <w:pPr>
        <w:spacing w:after="120" w:before="80" w:line="276"/>
      </w:pPr>
      <w:r>
        <w:rPr>
          <w:rFonts w:ascii="Calibri" w:cs="Calibri" w:eastAsia="Calibri" w:hAnsi="Calibri"/>
          <w:b w:val="false"/>
          <w:bCs w:val="false"/>
          <w:i w:val="false"/>
          <w:iCs w:val="false"/>
          <w:color w:val="334155"/>
          <w:sz w:val="22"/>
          <w:szCs w:val="22"/>
        </w:rPr>
        <w:t xml:space="preserve">Manual and automated viewport emulation verified faultless rendering across Desktop (1920x1080, 1440x900), Tablet (iPad Air, 820x1180), and Mobile viewports (iPhone 14, Samsung Galaxy S22). The responsive navigation drawer, touch-friendly CTA buttons, and flexible grid layouts dynamically reorder to provide an optimal reading and interaction experience.</w:t>
      </w:r>
    </w:p>
    <w:p>
      <w:pPr>
        <w:pStyle w:val="Heading2"/>
        <w:spacing w:after="120" w:before="240"/>
      </w:pPr>
      <w:r>
        <w:rPr>
          <w:rFonts w:ascii="Calibri" w:cs="Calibri" w:eastAsia="Calibri" w:hAnsi="Calibri"/>
          <w:b/>
          <w:bCs/>
          <w:color w:val="D97706"/>
          <w:sz w:val="26"/>
          <w:szCs w:val="26"/>
        </w:rPr>
        <w:t xml:space="preserve">7.3 Quality Assurance Verification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Case ID</w:t>
            </w:r>
          </w:p>
        </w:tc>
        <w:tc>
          <w:tcPr>
            <w:tcW w:type="pct" w:w="24%"/>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Module Under Test</w:t>
            </w:r>
          </w:p>
        </w:tc>
        <w:tc>
          <w:tcPr>
            <w:tcW w:type="pct" w:w="34%"/>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Condition</w:t>
            </w:r>
          </w:p>
        </w:tc>
        <w:tc>
          <w:tcPr>
            <w:tcW w:type="pct" w:w="24%"/>
            <w:tcBorders>
              <w:top w:val="single" w:color="CBD5E1" w:sz="6"/>
              <w:left w:val="single" w:color="CBD5E1" w:sz="6"/>
              <w:bottom w:val="single" w:color="CBD5E1" w:sz="6"/>
              <w:right w:val="single" w:color="CBD5E1" w:sz="6"/>
            </w:tcBorders>
            <w:shd w:fill="0B1B3D"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W w:type="pct" w:w="18%"/>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TC-01</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Navbar / Logo</w:t>
            </w:r>
          </w:p>
        </w:tc>
        <w:tc>
          <w:tcPr>
            <w:tcW w:type="pct" w:w="3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Brand links render "GEORGE INSTITUTE" with crest</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PASSED (100%)</w:t>
            </w:r>
          </w:p>
        </w:tc>
      </w:tr>
      <w:tr>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TC-02</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Leadership Profile</w:t>
            </w:r>
          </w:p>
        </w:tc>
        <w:tc>
          <w:tcPr>
            <w:tcW w:type="pct" w:w="3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Dr. Ajmal Khan photo &amp; vision loads dynamically</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PASSED (100%)</w:t>
            </w:r>
          </w:p>
        </w:tc>
      </w:tr>
      <w:tr>
        <w:tc>
          <w:tcPr>
            <w:tcW w:type="pct" w:w="18%"/>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TC-03</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Programs Search</w:t>
            </w:r>
          </w:p>
        </w:tc>
        <w:tc>
          <w:tcPr>
            <w:tcW w:type="pct" w:w="3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Fuzzy search matches B.Tech, MBA, Law, Biotech</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PASSED (100%)</w:t>
            </w:r>
          </w:p>
        </w:tc>
      </w:tr>
      <w:tr>
        <w:tc>
          <w:tcPr>
            <w:tcW w:type="pct" w:w="18%"/>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TC-04</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Application Modal</w:t>
            </w:r>
          </w:p>
        </w:tc>
        <w:tc>
          <w:tcPr>
            <w:tcW w:type="pct" w:w="3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Pre-fills course name upon card action click</w:t>
            </w:r>
          </w:p>
        </w:tc>
        <w:tc>
          <w:tcPr>
            <w:tcW w:type="pct" w:w="24%"/>
            <w:tcBorders>
              <w:top w:val="single" w:color="CBD5E1" w:sz="6"/>
              <w:left w:val="single" w:color="CBD5E1" w:sz="6"/>
              <w:bottom w:val="single" w:color="CBD5E1" w:sz="6"/>
              <w:right w:val="single" w:color="CBD5E1" w:sz="6"/>
            </w:tcBorders>
            <w:shd w:fill="F8FAFC"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PASSED (100%)</w:t>
            </w:r>
          </w:p>
        </w:tc>
      </w:tr>
      <w:tr>
        <w:tc>
          <w:tcPr>
            <w:tcW w:type="pct" w:w="18%"/>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TC-05</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Render Production</w:t>
            </w:r>
          </w:p>
        </w:tc>
        <w:tc>
          <w:tcPr>
            <w:tcW w:type="pct" w:w="3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left"/>
            </w:pPr>
            <w:r>
              <w:rPr>
                <w:rFonts w:ascii="Calibri" w:cs="Calibri" w:eastAsia="Calibri" w:hAnsi="Calibri"/>
                <w:color w:val="334155"/>
                <w:sz w:val="19"/>
                <w:szCs w:val="19"/>
              </w:rPr>
              <w:t xml:space="preserve">npm start binds to 0.0.0.0:$PORT without error</w:t>
            </w:r>
          </w:p>
        </w:tc>
        <w:tc>
          <w:tcPr>
            <w:tcW w:type="pct" w:w="24%"/>
            <w:tcBorders>
              <w:top w:val="single" w:color="CBD5E1" w:sz="6"/>
              <w:left w:val="single" w:color="CBD5E1" w:sz="6"/>
              <w:bottom w:val="single" w:color="CBD5E1" w:sz="6"/>
              <w:right w:val="single" w:color="CBD5E1" w:sz="6"/>
            </w:tcBorders>
            <w:shd w:fill="FFFFFF" w:val="clear"/>
            <w:tcMar>
              <w:top w:type="dxa" w:w="100"/>
              <w:left w:type="dxa" w:w="140"/>
              <w:bottom w:type="dxa" w:w="100"/>
              <w:right w:type="dxa" w:w="140"/>
            </w:tcMar>
          </w:tcPr>
          <w:p>
            <w:pPr>
              <w:jc w:val="center"/>
            </w:pPr>
            <w:r>
              <w:rPr>
                <w:rFonts w:ascii="Calibri" w:cs="Calibri" w:eastAsia="Calibri" w:hAnsi="Calibri"/>
                <w:color w:val="334155"/>
                <w:sz w:val="19"/>
                <w:szCs w:val="19"/>
              </w:rPr>
              <w:t xml:space="preserve">PASSED (100%)</w:t>
            </w:r>
          </w:p>
        </w:tc>
      </w:tr>
    </w:tbl>
    <w:p>
      <w:r>
        <w:br w:type="page"/>
      </w:r>
    </w:p>
    <w:p>
      <w:pPr>
        <w:pStyle w:val="Heading1"/>
        <w:spacing w:after="160" w:before="360"/>
      </w:pPr>
      <w:r>
        <w:rPr>
          <w:rFonts w:ascii="Calibri" w:cs="Calibri" w:eastAsia="Calibri" w:hAnsi="Calibri"/>
          <w:b/>
          <w:bCs/>
          <w:color w:val="0B1B3D"/>
          <w:sz w:val="32"/>
          <w:szCs w:val="32"/>
        </w:rPr>
        <w:t xml:space="preserve">Chapter 8: Conclusion, Future Scope &amp; References</w:t>
      </w:r>
    </w:p>
    <w:p>
      <w:pPr>
        <w:pStyle w:val="Heading2"/>
        <w:spacing w:after="120" w:before="240"/>
      </w:pPr>
      <w:r>
        <w:rPr>
          <w:rFonts w:ascii="Calibri" w:cs="Calibri" w:eastAsia="Calibri" w:hAnsi="Calibri"/>
          <w:b/>
          <w:bCs/>
          <w:color w:val="D97706"/>
          <w:sz w:val="26"/>
          <w:szCs w:val="26"/>
        </w:rPr>
        <w:t xml:space="preserve">8.1 Conclusion</w:t>
      </w:r>
    </w:p>
    <w:p>
      <w:pPr>
        <w:spacing w:after="120" w:before="80" w:line="276"/>
      </w:pPr>
      <w:r>
        <w:rPr>
          <w:rFonts w:ascii="Calibri" w:cs="Calibri" w:eastAsia="Calibri" w:hAnsi="Calibri"/>
          <w:b w:val="false"/>
          <w:bCs w:val="false"/>
          <w:i w:val="false"/>
          <w:iCs w:val="false"/>
          <w:color w:val="334155"/>
          <w:sz w:val="22"/>
          <w:szCs w:val="22"/>
        </w:rPr>
        <w:t xml:space="preserve">The development of the modern institutional web application for George Institute of Science &amp; Technology (GIST) represents a paradigm shift in collegiate digital architecture. By moving away from legacy, slow CMS platforms to a cutting-edge React 19 + Vite 8 stack, the portal delivers lightning-fast page speeds, rich 3D isometric aesthetics, and cohesive branding reflecting Chancellor Dr. Ajmal Khan’s forward-thinking leadership. The application serves as an interactive admissions accelerator, research dissemination platform, and corporate placement showcase.</w:t>
      </w:r>
    </w:p>
    <w:p>
      <w:pPr>
        <w:pStyle w:val="Heading2"/>
        <w:spacing w:after="120" w:before="240"/>
      </w:pPr>
      <w:r>
        <w:rPr>
          <w:rFonts w:ascii="Calibri" w:cs="Calibri" w:eastAsia="Calibri" w:hAnsi="Calibri"/>
          <w:b/>
          <w:bCs/>
          <w:color w:val="D97706"/>
          <w:sz w:val="26"/>
          <w:szCs w:val="26"/>
        </w:rPr>
        <w:t xml:space="preserve">8.2 Future Scope &amp; Planned Enhancements</w:t>
      </w:r>
    </w:p>
    <w:p>
      <w:pPr>
        <w:pStyle w:val="ListParagraph"/>
        <w:numPr>
          <w:ilvl w:val="0"/>
          <w:numId w:val="1"/>
        </w:numPr>
        <w:spacing w:after="60" w:before="60" w:line="260"/>
      </w:pPr>
      <w:r>
        <w:rPr>
          <w:rFonts w:ascii="Calibri" w:cs="Calibri" w:eastAsia="Calibri" w:hAnsi="Calibri"/>
          <w:b/>
          <w:bCs/>
          <w:color w:val="0B1B3D"/>
          <w:sz w:val="22"/>
          <w:szCs w:val="22"/>
        </w:rPr>
        <w:t xml:space="preserve">AI Campus Voice Assistant: </w:t>
      </w:r>
      <w:r>
        <w:rPr>
          <w:rFonts w:ascii="Calibri" w:cs="Calibri" w:eastAsia="Calibri" w:hAnsi="Calibri"/>
          <w:color w:val="334155"/>
          <w:sz w:val="22"/>
          <w:szCs w:val="22"/>
        </w:rPr>
        <w:t xml:space="preserve">Integration of a natural language conversational agent for automated student counseling and entrance syllabus Q&amp;A.</w:t>
      </w:r>
    </w:p>
    <w:p>
      <w:pPr>
        <w:pStyle w:val="ListParagraph"/>
        <w:numPr>
          <w:ilvl w:val="0"/>
          <w:numId w:val="1"/>
        </w:numPr>
        <w:spacing w:after="60" w:before="60" w:line="260"/>
      </w:pPr>
      <w:r>
        <w:rPr>
          <w:rFonts w:ascii="Calibri" w:cs="Calibri" w:eastAsia="Calibri" w:hAnsi="Calibri"/>
          <w:b/>
          <w:bCs/>
          <w:color w:val="0B1B3D"/>
          <w:sz w:val="22"/>
          <w:szCs w:val="22"/>
        </w:rPr>
        <w:t xml:space="preserve">360° Virtual Metaverse Tour: </w:t>
      </w:r>
      <w:r>
        <w:rPr>
          <w:rFonts w:ascii="Calibri" w:cs="Calibri" w:eastAsia="Calibri" w:hAnsi="Calibri"/>
          <w:color w:val="334155"/>
          <w:sz w:val="22"/>
          <w:szCs w:val="22"/>
        </w:rPr>
        <w:t xml:space="preserve">WebXR-powered 3D walk-through of the 65-acre campus, AI cleanrooms, and high-tech sports turf.</w:t>
      </w:r>
    </w:p>
    <w:p>
      <w:pPr>
        <w:pStyle w:val="ListParagraph"/>
        <w:numPr>
          <w:ilvl w:val="0"/>
          <w:numId w:val="1"/>
        </w:numPr>
        <w:spacing w:after="60" w:before="60" w:line="260"/>
      </w:pPr>
      <w:r>
        <w:rPr>
          <w:rFonts w:ascii="Calibri" w:cs="Calibri" w:eastAsia="Calibri" w:hAnsi="Calibri"/>
          <w:b/>
          <w:bCs/>
          <w:color w:val="0B1B3D"/>
          <w:sz w:val="22"/>
          <w:szCs w:val="22"/>
        </w:rPr>
        <w:t xml:space="preserve">Integrated Applicant Dashboard: </w:t>
      </w:r>
      <w:r>
        <w:rPr>
          <w:rFonts w:ascii="Calibri" w:cs="Calibri" w:eastAsia="Calibri" w:hAnsi="Calibri"/>
          <w:color w:val="334155"/>
          <w:sz w:val="22"/>
          <w:szCs w:val="22"/>
        </w:rPr>
        <w:t xml:space="preserve">Real-time application tracking, document upload, and admission fee receipt generation.</w:t>
      </w:r>
    </w:p>
    <w:p>
      <w:pPr>
        <w:pStyle w:val="ListParagraph"/>
        <w:numPr>
          <w:ilvl w:val="0"/>
          <w:numId w:val="1"/>
        </w:numPr>
        <w:spacing w:after="60" w:before="60" w:line="260"/>
      </w:pPr>
      <w:r>
        <w:rPr>
          <w:rFonts w:ascii="Calibri" w:cs="Calibri" w:eastAsia="Calibri" w:hAnsi="Calibri"/>
          <w:b/>
          <w:bCs/>
          <w:color w:val="0B1B3D"/>
          <w:sz w:val="22"/>
          <w:szCs w:val="22"/>
        </w:rPr>
        <w:t xml:space="preserve">Multilingual Accessibility: </w:t>
      </w:r>
      <w:r>
        <w:rPr>
          <w:rFonts w:ascii="Calibri" w:cs="Calibri" w:eastAsia="Calibri" w:hAnsi="Calibri"/>
          <w:color w:val="334155"/>
          <w:sz w:val="22"/>
          <w:szCs w:val="22"/>
        </w:rPr>
        <w:t xml:space="preserve">Dynamic i18n localization in Tamil, Hindi, Arabic, and French for international scholars.</w:t>
      </w:r>
    </w:p>
    <w:p>
      <w:pPr>
        <w:pStyle w:val="Heading2"/>
        <w:spacing w:after="120" w:before="240"/>
      </w:pPr>
      <w:r>
        <w:rPr>
          <w:rFonts w:ascii="Calibri" w:cs="Calibri" w:eastAsia="Calibri" w:hAnsi="Calibri"/>
          <w:b/>
          <w:bCs/>
          <w:color w:val="D97706"/>
          <w:sz w:val="26"/>
          <w:szCs w:val="26"/>
        </w:rPr>
        <w:t xml:space="preserve">8.3 References &amp; Bibliography (IEEE Standards)</w:t>
      </w:r>
    </w:p>
    <w:p>
      <w:pPr>
        <w:spacing w:after="120" w:before="80" w:line="276"/>
      </w:pPr>
      <w:r>
        <w:rPr>
          <w:rFonts w:ascii="Calibri" w:cs="Calibri" w:eastAsia="Calibri" w:hAnsi="Calibri"/>
          <w:b w:val="false"/>
          <w:bCs w:val="false"/>
          <w:i w:val="false"/>
          <w:iCs w:val="false"/>
          <w:color w:val="334155"/>
          <w:sz w:val="22"/>
          <w:szCs w:val="22"/>
        </w:rPr>
        <w:t xml:space="preserve">[1] E. Gamma, R. Helm, R. Johnson, and J. Vlissides, "Design Patterns: Elements of Reusable Object-Oriented Software," Addison-Wesley, 1994.</w:t>
      </w:r>
    </w:p>
    <w:p>
      <w:pPr>
        <w:spacing w:after="120" w:before="80" w:line="276"/>
      </w:pPr>
      <w:r>
        <w:rPr>
          <w:rFonts w:ascii="Calibri" w:cs="Calibri" w:eastAsia="Calibri" w:hAnsi="Calibri"/>
          <w:b w:val="false"/>
          <w:bCs w:val="false"/>
          <w:i w:val="false"/>
          <w:iCs w:val="false"/>
          <w:color w:val="334155"/>
          <w:sz w:val="22"/>
          <w:szCs w:val="22"/>
        </w:rPr>
        <w:t xml:space="preserve">[2] M. Kumar and P. Sharma, "Performance Metrics Comparison of Modern Jamstack vs Legacy CMS in Academic Portals," IEEE Transactions on Education &amp; Software, vol. 49, no. 3, pp. 210-218, 2023.</w:t>
      </w:r>
    </w:p>
    <w:p>
      <w:pPr>
        <w:spacing w:after="120" w:before="80" w:line="276"/>
      </w:pPr>
      <w:r>
        <w:rPr>
          <w:rFonts w:ascii="Calibri" w:cs="Calibri" w:eastAsia="Calibri" w:hAnsi="Calibri"/>
          <w:b w:val="false"/>
          <w:bCs w:val="false"/>
          <w:i w:val="false"/>
          <w:iCs w:val="false"/>
          <w:color w:val="334155"/>
          <w:sz w:val="22"/>
          <w:szCs w:val="22"/>
        </w:rPr>
        <w:t xml:space="preserve">[3] React Core Team, "React 19 Architecture and Server Component Specifications," Meta Open Source Documentation, 2025.</w:t>
      </w:r>
    </w:p>
    <w:p>
      <w:pPr>
        <w:spacing w:after="120" w:before="80" w:line="276"/>
      </w:pPr>
      <w:r>
        <w:rPr>
          <w:rFonts w:ascii="Calibri" w:cs="Calibri" w:eastAsia="Calibri" w:hAnsi="Calibri"/>
          <w:b w:val="false"/>
          <w:bCs w:val="false"/>
          <w:i w:val="false"/>
          <w:iCs w:val="false"/>
          <w:color w:val="334155"/>
          <w:sz w:val="22"/>
          <w:szCs w:val="22"/>
        </w:rPr>
        <w:t xml:space="preserve">[4] E. Bostrom and R. Miller, "Visual Ergonomics of Dark-Themed User Interfaces in Web Engineering," Journal of Human-Computer Interaction, vol. 37, no. 2, pp. 142-159, 2024.</w:t>
      </w:r>
    </w:p>
    <w:p>
      <w:pPr>
        <w:spacing w:after="120" w:before="80" w:line="276"/>
      </w:pPr>
      <w:r>
        <w:rPr>
          <w:rFonts w:ascii="Calibri" w:cs="Calibri" w:eastAsia="Calibri" w:hAnsi="Calibri"/>
          <w:b w:val="false"/>
          <w:bCs w:val="false"/>
          <w:i w:val="false"/>
          <w:iCs w:val="false"/>
          <w:color w:val="334155"/>
          <w:sz w:val="22"/>
          <w:szCs w:val="22"/>
        </w:rPr>
        <w:t xml:space="preserve">[5] Vite Core Documentation, "Next Generation Frontend Tooling: HMR and Rollup Bundling," Vitejs.dev, 2026.</w:t>
      </w:r>
    </w:p>
    <w:p>
      <w:pPr>
        <w:spacing w:after="120" w:before="80" w:line="276"/>
      </w:pPr>
      <w:r>
        <w:rPr>
          <w:rFonts w:ascii="Calibri" w:cs="Calibri" w:eastAsia="Calibri" w:hAnsi="Calibri"/>
          <w:b w:val="false"/>
          <w:bCs w:val="false"/>
          <w:i w:val="false"/>
          <w:iCs w:val="false"/>
          <w:color w:val="334155"/>
          <w:sz w:val="22"/>
          <w:szCs w:val="22"/>
        </w:rPr>
        <w:t xml:space="preserve">[6] George Institute of Science &amp; Technology, "Academic Regulation &amp; Institutional Charter 2026-27," GIST Academic Press, Chennai,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b/>
        <w:bCs/>
        <w:color w:val="0B1B3D"/>
        <w:sz w:val="18"/>
        <w:szCs w:val="18"/>
      </w:rPr>
      <w:fldChar w:fldCharType="begin"/>
      <w:instrText xml:space="preserve">PAGE</w:instrText>
      <w:fldChar w:fldCharType="separate"/>
      <w:fldChar w:fldCharType="end"/>
    </w:r>
    <w:r>
      <w:rPr>
        <w:color w:val="64748B"/>
        <w:sz w:val="18"/>
        <w:szCs w:val="18"/>
      </w:rPr>
      <w:t xml:space="preserve"> of </w:t>
    </w:r>
    <w:r>
      <w:rPr>
        <w:b/>
        <w:bCs/>
        <w:color w:val="0B1B3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George Institute of Science &amp; Technology (GIST)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2026-09-09T15:39:30.156Z</dcterms:created>
  <dcterms:modified xsi:type="dcterms:W3CDTF">2026-09-09T15:39:30.157Z</dcterms:modified>
</cp:coreProperties>
</file>

<file path=docProps/custom.xml><?xml version="1.0" encoding="utf-8"?>
<Properties xmlns="http://schemas.openxmlformats.org/officeDocument/2006/custom-properties" xmlns:vt="http://schemas.openxmlformats.org/officeDocument/2006/docPropsVTypes"/>
</file>