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bCs/>
        </w:rPr>
      </w:pPr>
      <w:r>
        <w:rPr>
          <w:b/>
          <w:bCs/>
        </w:rPr>
        <w:t xml:space="preserve">Code Extractor – User Guide</w:t>
      </w:r>
    </w:p>
    <w:p>
      <w:pPr>
        <w:rPr>
          <w:b/>
          <w:bCs/>
        </w:rPr>
      </w:pPr>
      <w:r>
        <w:rPr>
          <w:b/>
          <w:bCs/>
        </w:rPr>
        <w:t xml:space="preserve">TCODE: ZCR_CODE_EXTRACT</w:t>
      </w:r>
    </w:p>
    <w:p>
      <w:r>
        <w:t xml:space="preserve">This tool extracts your changed ABAP code (along with dependency and data-dictionary context) into a single text file, ready to be used as input for the automated code review. This guide explains what to select on each screen and when, so you always get the right output for your situation.</w:t>
      </w:r>
    </w:p>
    <w:p>
      <w:r>
        <w:pict>
          <v:rect id="_x0000_i1055" style="width:0;height:1.5pt" o:hralign="center" o:hrstd="t" o:hr="t" fillcolor="#a0a0a0" stroked="f"/>
        </w:pict>
      </w:r>
    </w:p>
    <w:p>
      <w:pPr>
        <w:rPr>
          <w:b/>
          <w:bCs/>
        </w:rPr>
      </w:pPr>
      <w:r>
        <w:rPr>
          <w:b/>
          <w:bCs/>
        </w:rPr>
        <w:t xml:space="preserve">Step 1: Choose </w:t>
      </w:r>
      <w:r>
        <w:rPr>
          <w:b/>
          <w:bCs/>
          <w:i/>
          <w:iCs/>
        </w:rPr>
        <w:t xml:space="preserve">what</w:t>
      </w:r>
      <w:r>
        <w:rPr>
          <w:b/>
          <w:bCs/>
        </w:rPr>
        <w:t xml:space="preserve"> you want to extract</w:t>
      </w:r>
    </w:p>
    <w:p>
      <w:r>
        <w:t xml:space="preserve">Pick </w:t>
      </w:r>
      <w:r>
        <w:rPr>
          <w:b/>
          <w:bCs/>
        </w:rPr>
        <w:t xml:space="preserve">one</w:t>
      </w:r>
      <w:r>
        <w:t xml:space="preserve"> of the following, based on what you’re reviewing. Each option accepts several entries at once </w:t>
      </w:r>
      <w:r>
        <w:t xml:space="preserve">–</w:t>
      </w:r>
      <w:r>
        <w:t xml:space="preserve"> use the multiple-selection arrow next to the field to add more than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7967"/>
      </w:tblGrid>
      <w:tr>
        <w:trPr>
          <w:tblHeader/>
          <w:tblCellSpacing w:w="15" w:type="dxa"/>
        </w:trPr>
        <w:tc>
          <w:tcPr>
            <w:tcW w:w="0" w:type="auto"/>
            <w:vAlign w:val="center"/>
            <w:hideMark/>
          </w:tcPr>
          <w:p>
            <w:pPr>
              <w:rPr>
                <w:b/>
                <w:bCs/>
              </w:rPr>
            </w:pPr>
            <w:r>
              <w:rPr>
                <w:b/>
                <w:bCs/>
              </w:rPr>
              <w:t xml:space="preserve">Option</w:t>
            </w:r>
          </w:p>
        </w:tc>
        <w:tc>
          <w:tcPr>
            <w:tcW w:w="0" w:type="auto"/>
            <w:vAlign w:val="center"/>
            <w:hideMark/>
          </w:tcPr>
          <w:p>
            <w:pPr>
              <w:rPr>
                <w:b/>
                <w:bCs/>
              </w:rPr>
            </w:pPr>
            <w:r>
              <w:rPr>
                <w:b/>
                <w:bCs/>
              </w:rPr>
              <w:t xml:space="preserve">When to use it</w:t>
            </w:r>
          </w:p>
        </w:tc>
      </w:tr>
      <w:tr>
        <w:trPr>
          <w:tblCellSpacing w:w="15" w:type="dxa"/>
        </w:trPr>
        <w:tc>
          <w:tcPr>
            <w:tcW w:w="0" w:type="auto"/>
            <w:vAlign w:val="center"/>
            <w:hideMark/>
          </w:tcPr>
          <w:p>
            <w:r>
              <w:rPr>
                <w:b/>
                <w:bCs/>
              </w:rPr>
              <w:t xml:space="preserve">Transport Request</w:t>
            </w:r>
          </w:p>
        </w:tc>
        <w:tc>
          <w:tcPr>
            <w:tcW w:w="0" w:type="auto"/>
            <w:vAlign w:val="center"/>
            <w:hideMark/>
          </w:tcPr>
          <w:p>
            <w:r>
              <w:rPr>
                <w:b/>
                <w:bCs/>
              </w:rPr>
              <w:t xml:space="preserve">This is the option you’ll use for almost every feature review.</w:t>
            </w:r>
            <w:r>
              <w:t xml:space="preserve"> Enter the transport(s) carrying your feature/change, and it will automatically pull in every program, class, method, and function module included in them. If an object appears in more than one of the transports you entered, it is listed once and the review screen shows which transports it was in.</w:t>
            </w:r>
          </w:p>
        </w:tc>
      </w:tr>
      <w:tr>
        <w:trPr>
          <w:tblCellSpacing w:w="15" w:type="dxa"/>
        </w:trPr>
        <w:tc>
          <w:tcPr>
            <w:tcW w:w="0" w:type="auto"/>
            <w:vAlign w:val="center"/>
            <w:hideMark/>
          </w:tcPr>
          <w:p>
            <w:r>
              <w:rPr>
                <w:b/>
                <w:bCs/>
              </w:rPr>
              <w:t xml:space="preserve">Program</w:t>
            </w:r>
          </w:p>
        </w:tc>
        <w:tc>
          <w:tcPr>
            <w:tcW w:w="0" w:type="auto"/>
            <w:vAlign w:val="center"/>
            <w:hideMark/>
          </w:tcPr>
          <w:p>
            <w:r>
              <w:t xml:space="preserve">You only want to extract specific ABAP program(s)/report(s), outside the context of a transport. Their includes are pulled in automatically.</w:t>
            </w:r>
          </w:p>
        </w:tc>
      </w:tr>
      <w:tr>
        <w:trPr>
          <w:tblCellSpacing w:w="15" w:type="dxa"/>
        </w:trPr>
        <w:tc>
          <w:tcPr>
            <w:tcW w:w="0" w:type="auto"/>
            <w:vAlign w:val="center"/>
            <w:hideMark/>
          </w:tcPr>
          <w:p>
            <w:r>
              <w:rPr>
                <w:b/>
                <w:bCs/>
              </w:rPr>
              <w:t xml:space="preserve">Class</w:t>
            </w:r>
          </w:p>
        </w:tc>
        <w:tc>
          <w:tcPr>
            <w:tcW w:w="0" w:type="auto"/>
            <w:vAlign w:val="center"/>
            <w:hideMark/>
          </w:tcPr>
          <w:p>
            <w:r>
              <w:t xml:space="preserve">You only want to extract specific class(es). Every section and every method of the class is listed on the review screen (Step 4), where you tick the ones you want.</w:t>
            </w:r>
          </w:p>
        </w:tc>
      </w:tr>
      <w:tr>
        <w:trPr>
          <w:tblCellSpacing w:w="15" w:type="dxa"/>
        </w:trPr>
        <w:tc>
          <w:tcPr>
            <w:tcW w:w="0" w:type="auto"/>
            <w:vAlign w:val="center"/>
            <w:hideMark/>
          </w:tcPr>
          <w:p>
            <w:r>
              <w:rPr>
                <w:b/>
                <w:bCs/>
              </w:rPr>
              <w:t xml:space="preserve">Function Module</w:t>
            </w:r>
          </w:p>
        </w:tc>
        <w:tc>
          <w:tcPr>
            <w:tcW w:w="0" w:type="auto"/>
            <w:vAlign w:val="center"/>
            <w:hideMark/>
          </w:tcPr>
          <w:p>
            <w:r>
              <w:t xml:space="preserve">You only want to extract specific function module(s).</w:t>
            </w:r>
          </w:p>
        </w:tc>
      </w:tr>
    </w:tbl>
    <w:p>
      <w:r>
        <w:rPr>
          <w:b/>
          <w:bCs/>
        </w:rPr>
        <w:t xml:space="preserve">Rule of thumb:</w:t>
      </w:r>
      <w:r>
        <w:t xml:space="preserve"> If you’re reviewing a completed feature, always use </w:t>
      </w:r>
      <w:r>
        <w:rPr>
          <w:b/>
          <w:bCs/>
        </w:rPr>
        <w:t xml:space="preserve">Transport Request</w:t>
      </w:r>
      <w:r>
        <w:t xml:space="preserve">. Use the other three only for one-off, targeted extractions (e.g., spot-checking a single object).</w:t>
      </w:r>
    </w:p>
    <w:p>
      <w:r>
        <w:pict>
          <v:rect id="_x0000_i1055" style="width:0;height:1.5pt" o:hralign="center" o:hrstd="t" o:hr="t" fillcolor="#a0a0a0" stroked="f"/>
        </w:pict>
      </w:r>
    </w:p>
    <w:p>
      <w:pPr>
        <w:rPr>
          <w:b/>
          <w:bCs/>
        </w:rPr>
      </w:pPr>
      <w:r>
        <w:rPr>
          <w:b/>
          <w:bCs/>
        </w:rPr>
        <w:t xml:space="preserve">Step 2: Choose </w:t>
      </w:r>
      <w:r>
        <w:rPr>
          <w:b/>
          <w:bCs/>
          <w:i/>
          <w:iCs/>
        </w:rPr>
        <w:t xml:space="preserve">how much</w:t>
      </w:r>
      <w:r>
        <w:rPr>
          <w:b/>
          <w:bCs/>
        </w:rPr>
        <w:t xml:space="preserve"> code to extract</w:t>
      </w:r>
    </w:p>
    <w:p>
      <w:r>
        <w:t xml:space="preserve">This is the most important decision on the screen </w:t>
      </w:r>
      <w:r>
        <w:t xml:space="preserve">–</w:t>
      </w:r>
      <w:r>
        <w:t xml:space="preserve"> it determines what the review will actually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255"/>
        <w:gridCol w:w="3791"/>
      </w:tblGrid>
      <w:tr>
        <w:trPr>
          <w:tblHeader/>
          <w:tblCellSpacing w:w="15" w:type="dxa"/>
        </w:trPr>
        <w:tc>
          <w:tcPr>
            <w:tcW w:w="0" w:type="auto"/>
            <w:vAlign w:val="center"/>
            <w:hideMark/>
          </w:tcPr>
          <w:p>
            <w:pPr>
              <w:rPr>
                <w:b/>
                <w:bCs/>
              </w:rPr>
            </w:pPr>
            <w:r>
              <w:rPr>
                <w:b/>
                <w:bCs/>
              </w:rPr>
              <w:t xml:space="preserve">Method</w:t>
            </w:r>
          </w:p>
        </w:tc>
        <w:tc>
          <w:tcPr>
            <w:tcW w:w="0" w:type="auto"/>
            <w:vAlign w:val="center"/>
            <w:hideMark/>
          </w:tcPr>
          <w:p>
            <w:pPr>
              <w:rPr>
                <w:b/>
                <w:bCs/>
              </w:rPr>
            </w:pPr>
            <w:r>
              <w:rPr>
                <w:b/>
                <w:bCs/>
              </w:rPr>
              <w:t xml:space="preserve">What you get</w:t>
            </w:r>
          </w:p>
        </w:tc>
        <w:tc>
          <w:tcPr>
            <w:tcW w:w="0" w:type="auto"/>
            <w:vAlign w:val="center"/>
            <w:hideMark/>
          </w:tcPr>
          <w:p>
            <w:pPr>
              <w:rPr>
                <w:b/>
                <w:bCs/>
              </w:rPr>
            </w:pPr>
            <w:r>
              <w:rPr>
                <w:b/>
                <w:bCs/>
              </w:rPr>
              <w:t xml:space="preserve">Best for</w:t>
            </w:r>
          </w:p>
        </w:tc>
      </w:tr>
      <w:tr>
        <w:trPr>
          <w:tblCellSpacing w:w="15" w:type="dxa"/>
        </w:trPr>
        <w:tc>
          <w:tcPr>
            <w:tcW w:w="0" w:type="auto"/>
            <w:vAlign w:val="center"/>
            <w:hideMark/>
          </w:tcPr>
          <w:p>
            <w:r>
              <w:rPr>
                <w:b/>
                <w:bCs/>
              </w:rPr>
              <w:t xml:space="preserve">Differential</w:t>
            </w:r>
          </w:p>
        </w:tc>
        <w:tc>
          <w:tcPr>
            <w:tcW w:w="0" w:type="auto"/>
            <w:vAlign w:val="center"/>
            <w:hideMark/>
          </w:tcPr>
          <w:p>
            <w:r>
              <w:t xml:space="preserve">Only the lines that were added or removed </w:t>
            </w:r>
            <w:r>
              <w:t xml:space="preserve">–</w:t>
            </w:r>
            <w:r>
              <w:t xml:space="preserve"> nothing else. A modified line is shown as its old version (−) followed by its new version (+).</w:t>
            </w:r>
          </w:p>
        </w:tc>
        <w:tc>
          <w:tcPr>
            <w:tcW w:w="0" w:type="auto"/>
            <w:vAlign w:val="center"/>
            <w:hideMark/>
          </w:tcPr>
          <w:p>
            <w:r>
              <w:t xml:space="preserve">Very small, isolated changes where you don’t need surrounding code for context. Fastest, but gives the reviewer the least context.</w:t>
            </w:r>
          </w:p>
        </w:tc>
      </w:tr>
      <w:tr>
        <w:trPr>
          <w:tblCellSpacing w:w="15" w:type="dxa"/>
        </w:trPr>
        <w:tc>
          <w:tcPr>
            <w:tcW w:w="0" w:type="auto"/>
            <w:vAlign w:val="center"/>
            <w:hideMark/>
          </w:tcPr>
          <w:p>
            <w:r>
              <w:rPr>
                <w:b/>
                <w:bCs/>
              </w:rPr>
              <w:t xml:space="preserve">Blocks</w:t>
            </w:r>
          </w:p>
        </w:tc>
        <w:tc>
          <w:tcPr>
            <w:tcW w:w="0" w:type="auto"/>
            <w:vAlign w:val="center"/>
            <w:hideMark/>
          </w:tcPr>
          <w:p>
            <w:r>
              <w:t xml:space="preserve">The complete method/form/function containing any change </w:t>
            </w:r>
            <w:r>
              <w:t xml:space="preserve">–</w:t>
            </w:r>
            <w:r>
              <w:t xml:space="preserve"> fully shown, with every line marked as unchanged (=), removed (−) or added (+). Routines you didn’t touch are left out entirely.</w:t>
            </w:r>
          </w:p>
        </w:tc>
        <w:tc>
          <w:tcPr>
            <w:tcW w:w="0" w:type="auto"/>
            <w:vAlign w:val="center"/>
            <w:hideMark/>
          </w:tcPr>
          <w:p>
            <w:r>
              <w:rPr>
                <w:b/>
                <w:bCs/>
              </w:rPr>
              <w:t xml:space="preserve">This is the recommended default for feature reviews.</w:t>
            </w:r>
            <w:r>
              <w:t xml:space="preserve"> It gives the reviewer full context around your change without wasting space on code you never touched.</w:t>
            </w:r>
          </w:p>
        </w:tc>
      </w:tr>
      <w:tr>
        <w:trPr>
          <w:tblCellSpacing w:w="15" w:type="dxa"/>
        </w:trPr>
        <w:tc>
          <w:tcPr>
            <w:tcW w:w="0" w:type="auto"/>
            <w:vAlign w:val="center"/>
            <w:hideMark/>
          </w:tcPr>
          <w:p>
            <w:r>
              <w:rPr>
                <w:b/>
                <w:bCs/>
              </w:rPr>
              <w:t xml:space="preserve">Full</w:t>
            </w:r>
          </w:p>
        </w:tc>
        <w:tc>
          <w:tcPr>
            <w:tcW w:w="0" w:type="auto"/>
            <w:vAlign w:val="center"/>
            <w:hideMark/>
          </w:tcPr>
          <w:p>
            <w:r>
              <w:t xml:space="preserve">The complete code of every object you selected, in full, every line marked as added (+).</w:t>
            </w:r>
          </w:p>
        </w:tc>
        <w:tc>
          <w:tcPr>
            <w:tcW w:w="0" w:type="auto"/>
            <w:vAlign w:val="center"/>
            <w:hideMark/>
          </w:tcPr>
          <w:p>
            <w:r>
              <w:t xml:space="preserve">Reviewing a brand-new object from scratch, or when you specifically want the reviewer to see the entire object regardless of what changed. Least efficient </w:t>
            </w:r>
            <w:r>
              <w:t xml:space="preserve">–</w:t>
            </w:r>
            <w:r>
              <w:t xml:space="preserve"> avoid for large or multi-object transports.</w:t>
            </w:r>
          </w:p>
        </w:tc>
      </w:tr>
    </w:tbl>
    <w:p>
      <w:r>
        <w:rPr>
          <w:b/>
          <w:bCs/>
        </w:rPr>
        <w:t xml:space="preserve">Rule of thumb:</w:t>
      </w:r>
      <w:r>
        <w:t xml:space="preserve"> Use </w:t>
      </w:r>
      <w:r>
        <w:rPr>
          <w:b/>
          <w:bCs/>
        </w:rPr>
        <w:t xml:space="preserve">Blocks</w:t>
      </w:r>
      <w:r>
        <w:t xml:space="preserve"> by default. Only switch to </w:t>
      </w:r>
      <w:r>
        <w:rPr>
          <w:b/>
          <w:bCs/>
        </w:rPr>
        <w:t xml:space="preserve">Differential</w:t>
      </w:r>
      <w:r>
        <w:t xml:space="preserve"> for trivial one-line tweaks, or to </w:t>
      </w:r>
      <w:r>
        <w:rPr>
          <w:b/>
          <w:bCs/>
        </w:rPr>
        <w:t xml:space="preserve">Full</w:t>
      </w:r>
      <w:r>
        <w:t xml:space="preserve"> when you deliberately want the entire object reviewed end-to-end.</w:t>
      </w:r>
    </w:p>
    <w:p>
      <w:r>
        <w:rPr>
          <w:b/>
          <w:bCs/>
        </w:rPr>
        <w:t xml:space="preserve">Note on generated OData classes:</w:t>
      </w:r>
      <w:r>
        <w:t xml:space="preserve"> in Differential and Blocks mode, the SAP-generated DPC and MPC base classes are skipped automatically </w:t>
      </w:r>
      <w:r>
        <w:t xml:space="preserve">–</w:t>
      </w:r>
      <w:r>
        <w:t xml:space="preserve"> they are regenerated from the service model and contain no hand-written code. Your _EXT classes are always included. Full mode includes the base classes too.</w:t>
      </w:r>
    </w:p>
    <w:p>
      <w:r>
        <w:pict>
          <v:rect id="_x0000_i1055" style="width:0;height:1.5pt" o:hralign="center" o:hrstd="t" o:hr="t" fillcolor="#a0a0a0" stroked="f"/>
        </w:pict>
      </w:r>
    </w:p>
    <w:p>
      <w:pPr>
        <w:rPr>
          <w:b/>
          <w:bCs/>
        </w:rPr>
      </w:pPr>
      <w:r>
        <w:rPr>
          <w:b/>
          <w:bCs/>
        </w:rPr>
        <w:t xml:space="preserve">Step 3: Choose your output folder</w:t>
      </w:r>
    </w:p>
    <w:p>
      <w:r>
        <w:t xml:space="preserve">Enter (or browse to) the folder where the output text file should be saved. The file is named automatically so you can identify it later:</w:t>
      </w:r>
    </w:p>
    <w:p>
      <w:pPr>
        <w:numPr>
          <w:ilvl w:val="0"/>
          <w:numId w:val="1"/>
        </w:numPr>
      </w:pPr>
      <w:r>
        <w:t xml:space="preserve">One entry: </w:t>
      </w:r>
      <w:r>
        <w:rPr>
          <w:b/>
          <w:bCs/>
        </w:rPr>
        <w:t xml:space="preserve">CODE_EXTRACT_&lt;name&gt;_&lt;METHOD&gt;.TXT</w:t>
      </w:r>
      <w:r>
        <w:t xml:space="preserve">, e.g. </w:t>
      </w:r>
      <w:r>
        <w:t xml:space="preserve">CODE_EXTRACT_DCSK9A1234_BLOCKS.TXT</w:t>
      </w:r>
    </w:p>
    <w:p>
      <w:pPr>
        <w:numPr>
          <w:ilvl w:val="0"/>
          <w:numId w:val="1"/>
        </w:numPr>
      </w:pPr>
      <w:r>
        <w:t xml:space="preserve">Several entries: </w:t>
      </w:r>
      <w:r>
        <w:rPr>
          <w:b/>
          <w:bCs/>
        </w:rPr>
        <w:t xml:space="preserve">CODE_EXTRACT_MULTI_&lt;type&gt;&lt;count&gt;_&lt;METHOD&gt;.TXT</w:t>
      </w:r>
      <w:r>
        <w:t xml:space="preserve">, where &lt;type&gt; is TO, PROG, CLAS or FUNC, e.g. CODE_EXTRACT_MULTI_TO3_BLOCKS.TXT</w:t>
      </w:r>
    </w:p>
    <w:p>
      <w:r>
        <w:t xml:space="preserve">If a file with that name already exists in the folder, you are asked to confirm before it is overwritten.</w:t>
      </w:r>
    </w:p>
    <w:p>
      <w:r>
        <w:pict>
          <v:rect id="_x0000_i1055" style="width:0;height:1.5pt" o:hralign="center" o:hrstd="t" o:hr="t" fillcolor="#a0a0a0" stroked="f"/>
        </w:pict>
      </w:r>
    </w:p>
    <w:p>
      <w:pPr>
        <w:rPr>
          <w:b/>
          <w:bCs/>
        </w:rPr>
      </w:pPr>
      <w:r>
        <w:rPr>
          <w:b/>
          <w:bCs/>
        </w:rPr>
        <w:t xml:space="preserve">Step 4: Review what will be extracted</w:t>
      </w:r>
    </w:p>
    <w:p>
      <w:r>
        <w:t xml:space="preserve">After you press Execute, a review screen lists every object found. Nothing is extracted yet </w:t>
      </w:r>
      <w:r>
        <w:t xml:space="preserve">–</w:t>
      </w:r>
      <w:r>
        <w:t xml:space="preserve"> this is where you decide what goes into the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7160"/>
      </w:tblGrid>
      <w:tr>
        <w:trPr>
          <w:tblHeader/>
          <w:tblCellSpacing w:w="15" w:type="dxa"/>
        </w:trPr>
        <w:tc>
          <w:tcPr>
            <w:tcW w:w="0" w:type="auto"/>
            <w:vAlign w:val="center"/>
            <w:hideMark/>
          </w:tcPr>
          <w:p>
            <w:pPr>
              <w:rPr>
                <w:b/>
                <w:bCs/>
              </w:rPr>
            </w:pPr>
            <w:r>
              <w:rPr>
                <w:b/>
                <w:bCs/>
              </w:rPr>
              <w:t xml:space="preserve">Column</w:t>
            </w:r>
          </w:p>
        </w:tc>
        <w:tc>
          <w:tcPr>
            <w:tcW w:w="0" w:type="auto"/>
            <w:vAlign w:val="center"/>
            <w:hideMark/>
          </w:tcPr>
          <w:p>
            <w:pPr>
              <w:rPr>
                <w:b/>
                <w:bCs/>
              </w:rPr>
            </w:pPr>
            <w:r>
              <w:rPr>
                <w:b/>
                <w:bCs/>
              </w:rPr>
              <w:t xml:space="preserve">What it shows</w:t>
            </w:r>
          </w:p>
        </w:tc>
      </w:tr>
      <w:tr>
        <w:trPr>
          <w:tblCellSpacing w:w="15" w:type="dxa"/>
        </w:trPr>
        <w:tc>
          <w:tcPr>
            <w:tcW w:w="0" w:type="auto"/>
            <w:vAlign w:val="center"/>
            <w:hideMark/>
          </w:tcPr>
          <w:p>
            <w:r>
              <w:rPr>
                <w:b/>
                <w:bCs/>
              </w:rPr>
              <w:t xml:space="preserve">Include</w:t>
            </w:r>
          </w:p>
        </w:tc>
        <w:tc>
          <w:tcPr>
            <w:tcW w:w="0" w:type="auto"/>
            <w:vAlign w:val="center"/>
            <w:hideMark/>
          </w:tcPr>
          <w:p>
            <w:r>
              <w:t xml:space="preserve">Tick to include the object, untick to leave it out. Everything is ticked by default. </w:t>
            </w:r>
            <w:r>
              <w:rPr>
                <w:b/>
                <w:bCs/>
              </w:rPr>
              <w:t xml:space="preserve">Select All</w:t>
            </w:r>
            <w:r>
              <w:t xml:space="preserve"> and </w:t>
            </w:r>
            <w:r>
              <w:rPr>
                <w:b/>
                <w:bCs/>
              </w:rPr>
              <w:t xml:space="preserve">Deselect All</w:t>
            </w:r>
            <w:r>
              <w:t xml:space="preserve"> buttons are on the toolbar.</w:t>
            </w:r>
          </w:p>
        </w:tc>
      </w:tr>
      <w:tr>
        <w:trPr>
          <w:tblCellSpacing w:w="15" w:type="dxa"/>
        </w:trPr>
        <w:tc>
          <w:tcPr>
            <w:tcW w:w="0" w:type="auto"/>
            <w:vAlign w:val="center"/>
            <w:hideMark/>
          </w:tcPr>
          <w:p>
            <w:r>
              <w:rPr>
                <w:b/>
                <w:bCs/>
              </w:rPr>
              <w:t xml:space="preserve">Object</w:t>
            </w:r>
          </w:p>
        </w:tc>
        <w:tc>
          <w:tcPr>
            <w:tcW w:w="0" w:type="auto"/>
            <w:vAlign w:val="center"/>
            <w:hideMark/>
          </w:tcPr>
          <w:p>
            <w:r>
              <w:t xml:space="preserve">The object’s name and type </w:t>
            </w:r>
            <w:r>
              <w:t xml:space="preserve">–</w:t>
            </w:r>
            <w:r>
              <w:t xml:space="preserve"> a method, a class section (public / protected / private), a program, an include, a function module.</w:t>
            </w:r>
          </w:p>
        </w:tc>
      </w:tr>
      <w:tr>
        <w:trPr>
          <w:tblCellSpacing w:w="15" w:type="dxa"/>
        </w:trPr>
        <w:tc>
          <w:tcPr>
            <w:tcW w:w="0" w:type="auto"/>
            <w:vAlign w:val="center"/>
            <w:hideMark/>
          </w:tcPr>
          <w:p>
            <w:r>
              <w:rPr>
                <w:b/>
                <w:bCs/>
              </w:rPr>
              <w:t xml:space="preserve">TRs Appeared In</w:t>
            </w:r>
          </w:p>
        </w:tc>
        <w:tc>
          <w:tcPr>
            <w:tcW w:w="0" w:type="auto"/>
            <w:vAlign w:val="center"/>
            <w:hideMark/>
          </w:tcPr>
          <w:p>
            <w:r>
              <w:t xml:space="preserve">Transport mode only: which of the transports you entered contained this object.</w:t>
            </w:r>
          </w:p>
        </w:tc>
      </w:tr>
      <w:tr>
        <w:trPr>
          <w:tblCellSpacing w:w="15" w:type="dxa"/>
        </w:trPr>
        <w:tc>
          <w:tcPr>
            <w:tcW w:w="0" w:type="auto"/>
            <w:vAlign w:val="center"/>
            <w:hideMark/>
          </w:tcPr>
          <w:p>
            <w:r>
              <w:rPr>
                <w:b/>
                <w:bCs/>
              </w:rPr>
              <w:t xml:space="preserve">Current Version / Most Recent TR</w:t>
            </w:r>
          </w:p>
        </w:tc>
        <w:tc>
          <w:tcPr>
            <w:tcW w:w="0" w:type="auto"/>
            <w:vAlign w:val="center"/>
            <w:hideMark/>
          </w:tcPr>
          <w:p>
            <w:r>
              <w:t xml:space="preserve">The active version of the object and, in Transport mode, the transport that created it.</w:t>
            </w:r>
          </w:p>
        </w:tc>
      </w:tr>
      <w:tr>
        <w:trPr>
          <w:tblCellSpacing w:w="15" w:type="dxa"/>
        </w:trPr>
        <w:tc>
          <w:tcPr>
            <w:tcW w:w="0" w:type="auto"/>
            <w:vAlign w:val="center"/>
            <w:hideMark/>
          </w:tcPr>
          <w:p>
            <w:r>
              <w:rPr>
                <w:b/>
                <w:bCs/>
              </w:rPr>
              <w:t xml:space="preserve">Compare Against Version</w:t>
            </w:r>
          </w:p>
        </w:tc>
        <w:tc>
          <w:tcPr>
            <w:tcW w:w="0" w:type="auto"/>
            <w:vAlign w:val="center"/>
            <w:hideMark/>
          </w:tcPr>
          <w:p>
            <w:r>
              <w:t xml:space="preserve">The version the current code is compared with. Defaults to the previous version. You can type another version number or press F4 to pick from every version of the object in the system. Leave it blank to let the tool decide.</w:t>
            </w:r>
          </w:p>
        </w:tc>
      </w:tr>
      <w:tr>
        <w:trPr>
          <w:tblCellSpacing w:w="15" w:type="dxa"/>
        </w:trPr>
        <w:tc>
          <w:tcPr>
            <w:tcW w:w="0" w:type="auto"/>
            <w:vAlign w:val="center"/>
            <w:hideMark/>
          </w:tcPr>
          <w:p>
            <w:r>
              <w:rPr>
                <w:b/>
                <w:bCs/>
              </w:rPr>
              <w:t xml:space="preserve">Compare Version TR</w:t>
            </w:r>
          </w:p>
        </w:tc>
        <w:tc>
          <w:tcPr>
            <w:tcW w:w="0" w:type="auto"/>
            <w:vAlign w:val="center"/>
            <w:hideMark/>
          </w:tcPr>
          <w:p>
            <w:r>
              <w:t xml:space="preserve">The transport that created the version chosen in </w:t>
            </w:r>
            <w:r>
              <w:rPr>
                <w:b/>
                <w:bCs/>
              </w:rPr>
              <w:t xml:space="preserve">Compare Against Version</w:t>
            </w:r>
            <w:r>
              <w:t xml:space="preserve">.</w:t>
            </w:r>
          </w:p>
        </w:tc>
      </w:tr>
    </w:tbl>
    <w:p>
      <w:r>
        <w:t xml:space="preserve">When you are happy with the selection, press </w:t>
      </w:r>
      <w:r>
        <w:rPr>
          <w:b/>
          <w:bCs/>
        </w:rPr>
        <w:t xml:space="preserve">Execute</w:t>
      </w:r>
      <w:r>
        <w:t xml:space="preserve"> again. Only the ticked rows are processed and written to the file. </w:t>
      </w:r>
      <w:r>
        <w:rPr>
          <w:b/>
          <w:bCs/>
        </w:rPr>
        <w:t xml:space="preserve">Back</w:t>
      </w:r>
      <w:r>
        <w:t xml:space="preserve">, </w:t>
      </w:r>
      <w:r>
        <w:rPr>
          <w:b/>
          <w:bCs/>
        </w:rPr>
        <w:t xml:space="preserve">Exit</w:t>
      </w:r>
      <w:r>
        <w:t xml:space="preserve"> or </w:t>
      </w:r>
      <w:r>
        <w:rPr>
          <w:b/>
          <w:bCs/>
        </w:rPr>
        <w:t xml:space="preserve">Cancel</w:t>
      </w:r>
      <w:r>
        <w:t xml:space="preserve"> abandon the run </w:t>
      </w:r>
      <w:r>
        <w:t xml:space="preserve">–</w:t>
      </w:r>
      <w:r>
        <w:t xml:space="preserve"> nothing is written.</w:t>
      </w:r>
    </w:p>
    <w:p>
      <w:r>
        <w:t xml:space="preserve">If you type a version number that doesn’t exist for that object, the cell is highlighted in red and an error message is shown. Correct it (or clear it) and press Execute again.</w:t>
      </w:r>
    </w:p>
    <w:p>
      <w:r>
        <w:rPr>
          <w:b/>
          <w:bCs/>
        </w:rPr>
        <w:t xml:space="preserve">Tip:</w:t>
      </w:r>
      <w:r>
        <w:t xml:space="preserve"> untick anything you don’t want reviewed </w:t>
      </w:r>
      <w:r>
        <w:t xml:space="preserve">–</w:t>
      </w:r>
      <w:r>
        <w:t xml:space="preserve"> generated stubs, methods that are out of scope, objects that only came along with the transport. The fewer objects in the file, the more focused the review.</w:t>
      </w:r>
    </w:p>
    <w:p>
      <w:r>
        <w:pict>
          <v:rect id="_x0000_i1055" style="width:0;height:1.5pt" o:hralign="center" o:hrstd="t" o:hr="t" fillcolor="#a0a0a0" stroked="f"/>
        </w:pict>
      </w:r>
    </w:p>
    <w:p>
      <w:pPr>
        <w:rPr>
          <w:b/>
          <w:bCs/>
        </w:rPr>
      </w:pPr>
      <w:r>
        <w:rPr>
          <w:b/>
          <w:bCs/>
        </w:rPr>
        <w:t xml:space="preserve">After Running</w:t>
      </w:r>
    </w:p>
    <w:p>
      <w:r>
        <w:t xml:space="preserve">Once the program finishes, it downloads a single .TXT file to your chosen folder. This file is what you upload/paste into the code review tool for the next phase </w:t>
      </w:r>
      <w:r>
        <w:t xml:space="preserve">–</w:t>
      </w:r>
      <w:r>
        <w:t xml:space="preserve"> no further editing is needed.</w:t>
      </w:r>
    </w:p>
    <w:p>
      <w:pPr>
        <w:rPr>
          <w:b/>
          <w:bCs/>
        </w:rPr>
      </w:pPr>
      <w:r>
        <w:rPr>
          <w:b/>
          <w:bCs/>
        </w:rPr>
        <w:t xml:space="preserve">What the file contains</w:t>
      </w:r>
    </w:p>
    <w:p>
      <w:r>
        <w:t xml:space="preserve">The file has one section per object you selected, in the order they appeared on the review screen.</w:t>
      </w:r>
    </w:p>
    <w:p>
      <w:pPr>
        <w:numPr>
          <w:ilvl w:val="0"/>
          <w:numId w:val="1"/>
        </w:numPr>
      </w:pPr>
      <w:r>
        <w:rPr>
          <w:b/>
          <w:bCs/>
        </w:rPr>
        <w:t xml:space="preserve">Objects with nothing to review</w:t>
      </w:r>
      <w:r>
        <w:t xml:space="preserve"> get a single line saying why, so you can see they were considered: </w:t>
      </w:r>
      <w:r>
        <w:rPr>
          <w:i/>
          <w:iCs/>
        </w:rPr>
        <w:t xml:space="preserve">no changes in this version</w:t>
      </w:r>
      <w:r>
        <w:t xml:space="preserve">, </w:t>
      </w:r>
      <w:r>
        <w:rPr>
          <w:i/>
          <w:iCs/>
        </w:rPr>
        <w:t xml:space="preserve">only regeneration timestamps changed</w:t>
      </w:r>
      <w:r>
        <w:t xml:space="preserve">, </w:t>
      </w:r>
      <w:r>
        <w:rPr>
          <w:i/>
          <w:iCs/>
        </w:rPr>
        <w:t xml:space="preserve">generated base class, not reviewed</w:t>
      </w:r>
      <w:r>
        <w:t xml:space="preserve"> or </w:t>
      </w:r>
      <w:r>
        <w:rPr>
          <w:i/>
          <w:iCs/>
        </w:rPr>
        <w:t xml:space="preserve">source or version information not available</w:t>
      </w:r>
      <w:r>
        <w:t xml:space="preserve">.</w:t>
      </w:r>
    </w:p>
    <w:p>
      <w:pPr>
        <w:numPr>
          <w:ilvl w:val="0"/>
          <w:numId w:val="1"/>
        </w:numPr>
      </w:pPr>
      <w:r>
        <w:rPr>
          <w:b/>
          <w:bCs/>
        </w:rPr>
        <w:t xml:space="preserve">Objects with changes</w:t>
      </w:r>
      <w:r>
        <w:t xml:space="preserve"> get a header, followed by:</w:t>
      </w:r>
    </w:p>
    <w:p>
      <w:pPr>
        <w:numPr>
          <w:ilvl w:val="1"/>
          <w:numId w:val="1"/>
        </w:numPr>
      </w:pPr>
      <w:r>
        <w:rPr>
          <w:b/>
          <w:bCs/>
        </w:rPr>
        <w:t xml:space="preserve">Dependency JSON</w:t>
      </w:r>
      <w:r>
        <w:t xml:space="preserve"> </w:t>
      </w:r>
      <w:r>
        <w:t xml:space="preserve">–</w:t>
      </w:r>
      <w:r>
        <w:t xml:space="preserve"> what the object calls (programs, includes, function modules, classes and methods), with each one’s parameters and exceptions. Function modules, includes and methods also carry </w:t>
      </w:r>
      <w:r>
        <w:rPr>
          <w:b/>
          <w:bCs/>
        </w:rPr>
        <w:t xml:space="preserve">code signals</w:t>
      </w:r>
      <w:r>
        <w:t xml:space="preserve">: database reads and writes, COMMIT/ROLLBACK, WAIT, RFC calls and lock calls found inside them, and one level further into the custom code they call. The reviewer uses these to spot things like a database read inside a called routine that sits in a loop.</w:t>
      </w:r>
    </w:p>
    <w:p>
      <w:pPr>
        <w:numPr>
          <w:ilvl w:val="1"/>
          <w:numId w:val="1"/>
        </w:numPr>
      </w:pPr>
      <w:r>
        <w:rPr>
          <w:b/>
          <w:bCs/>
        </w:rPr>
        <w:t xml:space="preserve">DDIC JSON</w:t>
      </w:r>
      <w:r>
        <w:t xml:space="preserve"> </w:t>
      </w:r>
      <w:r>
        <w:t xml:space="preserve">–</w:t>
      </w:r>
      <w:r>
        <w:t xml:space="preserve"> the domains, data elements, tables, structures and table types the object uses, grouped by package. Each one is described once in the file, under the first object that uses it, so later objects only carry what is new.</w:t>
      </w:r>
    </w:p>
    <w:p>
      <w:pPr>
        <w:numPr>
          <w:ilvl w:val="1"/>
          <w:numId w:val="1"/>
        </w:numPr>
      </w:pPr>
      <w:r>
        <w:rPr>
          <w:b/>
          <w:bCs/>
        </w:rPr>
        <w:t xml:space="preserve">The code</w:t>
      </w:r>
      <w:r>
        <w:t xml:space="preserve"> </w:t>
      </w:r>
      <w:r>
        <w:t xml:space="preserve">–</w:t>
      </w:r>
      <w:r>
        <w:t xml:space="preserve"> in the shape chosen in Step 2. If the object has no earlier version to compare with, the line </w:t>
      </w:r>
      <w:r>
        <w:rPr>
          <w:i/>
          <w:iCs/>
        </w:rPr>
        <w:t xml:space="preserve">This is the first version of this object.</w:t>
      </w:r>
      <w:r>
        <w:t xml:space="preserve"> appears and all of its code is shown as added.</w:t>
      </w:r>
    </w:p>
    <w:sectPr w:rsidR="00073588">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340D" w14:textId="77777777" w:rsidR="00960A45" w:rsidRDefault="00960A45" w:rsidP="00F16210">
      <w:pPr>
        <w:spacing w:after="0" w:line="240" w:lineRule="auto"/>
      </w:pPr>
      <w:r>
        <w:separator/>
      </w:r>
    </w:p>
  </w:endnote>
  <w:endnote w:type="continuationSeparator" w:id="0">
    <w:p w14:paraId="2D1ACF43" w14:textId="77777777" w:rsidR="00960A45" w:rsidRDefault="00960A45" w:rsidP="00F16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8DBD9" w14:textId="77777777" w:rsidR="00960A45" w:rsidRDefault="00960A45" w:rsidP="00F16210">
      <w:pPr>
        <w:spacing w:after="0" w:line="240" w:lineRule="auto"/>
      </w:pPr>
      <w:r>
        <w:separator/>
      </w:r>
    </w:p>
  </w:footnote>
  <w:footnote w:type="continuationSeparator" w:id="0">
    <w:p w14:paraId="099EE2E1" w14:textId="77777777" w:rsidR="00960A45" w:rsidRDefault="00960A45" w:rsidP="00F16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BBC3" w14:textId="2F457FD0" w:rsidR="00F16210" w:rsidRDefault="00F16210">
    <w:pPr>
      <w:pStyle w:val="Header"/>
    </w:pPr>
    <w:r>
      <w:rPr>
        <w:noProof/>
      </w:rPr>
      <mc:AlternateContent>
        <mc:Choice Requires="wps">
          <w:drawing>
            <wp:anchor distT="0" distB="0" distL="0" distR="0" simplePos="0" relativeHeight="251659264" behindDoc="0" locked="0" layoutInCell="1" allowOverlap="1" wp14:anchorId="184516F2" wp14:editId="77932576">
              <wp:simplePos x="635" y="635"/>
              <wp:positionH relativeFrom="page">
                <wp:align>left</wp:align>
              </wp:positionH>
              <wp:positionV relativeFrom="page">
                <wp:align>top</wp:align>
              </wp:positionV>
              <wp:extent cx="1581150" cy="332740"/>
              <wp:effectExtent l="0" t="0" r="0" b="10160"/>
              <wp:wrapNone/>
              <wp:docPr id="826882152"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77877E5D" w14:textId="2407B6D0"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4516F2"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fill o:detectmouseclick="t"/>
              <v:textbox style="mso-fit-shape-to-text:t" inset="20pt,15pt,0,0">
                <w:txbxContent>
                  <w:p w14:paraId="77877E5D" w14:textId="2407B6D0"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8012" w14:textId="2289A9FA" w:rsidR="00F16210" w:rsidRDefault="00F16210">
    <w:pPr>
      <w:pStyle w:val="Header"/>
    </w:pPr>
    <w:r>
      <w:rPr>
        <w:noProof/>
      </w:rPr>
      <mc:AlternateContent>
        <mc:Choice Requires="wps">
          <w:drawing>
            <wp:anchor distT="0" distB="0" distL="0" distR="0" simplePos="0" relativeHeight="251660288" behindDoc="0" locked="0" layoutInCell="1" allowOverlap="1" wp14:anchorId="164AB1B1" wp14:editId="461FF8DD">
              <wp:simplePos x="914400" y="457200"/>
              <wp:positionH relativeFrom="page">
                <wp:align>left</wp:align>
              </wp:positionH>
              <wp:positionV relativeFrom="page">
                <wp:align>top</wp:align>
              </wp:positionV>
              <wp:extent cx="1581150" cy="332740"/>
              <wp:effectExtent l="0" t="0" r="0" b="10160"/>
              <wp:wrapNone/>
              <wp:docPr id="32366465"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B0D3528" w14:textId="64BD061D"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4AB1B1"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fill o:detectmouseclick="t"/>
              <v:textbox style="mso-fit-shape-to-text:t" inset="20pt,15pt,0,0">
                <w:txbxContent>
                  <w:p w14:paraId="1B0D3528" w14:textId="64BD061D"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D059" w14:textId="54FCEF37" w:rsidR="00F16210" w:rsidRDefault="00F16210">
    <w:pPr>
      <w:pStyle w:val="Header"/>
    </w:pPr>
    <w:r>
      <w:rPr>
        <w:noProof/>
      </w:rPr>
      <mc:AlternateContent>
        <mc:Choice Requires="wps">
          <w:drawing>
            <wp:anchor distT="0" distB="0" distL="0" distR="0" simplePos="0" relativeHeight="251658240" behindDoc="0" locked="0" layoutInCell="1" allowOverlap="1" wp14:anchorId="0671F038" wp14:editId="3462F96A">
              <wp:simplePos x="635" y="635"/>
              <wp:positionH relativeFrom="page">
                <wp:align>left</wp:align>
              </wp:positionH>
              <wp:positionV relativeFrom="page">
                <wp:align>top</wp:align>
              </wp:positionV>
              <wp:extent cx="1581150" cy="332740"/>
              <wp:effectExtent l="0" t="0" r="0" b="10160"/>
              <wp:wrapNone/>
              <wp:docPr id="1019414956"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667704D" w14:textId="094C14B7"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71F038"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fill o:detectmouseclick="t"/>
              <v:textbox style="mso-fit-shape-to-text:t" inset="20pt,15pt,0,0">
                <w:txbxContent>
                  <w:p w14:paraId="4667704D" w14:textId="094C14B7" w:rsidR="00F16210" w:rsidRPr="00F16210" w:rsidRDefault="00F16210" w:rsidP="00F16210">
                    <w:pPr>
                      <w:spacing w:after="0"/>
                      <w:rPr>
                        <w:rFonts w:ascii="Tahoma" w:eastAsia="Tahoma" w:hAnsi="Tahoma" w:cs="Tahoma"/>
                        <w:noProof/>
                        <w:color w:val="CF022B"/>
                        <w:sz w:val="16"/>
                        <w:szCs w:val="16"/>
                      </w:rPr>
                    </w:pPr>
                    <w:r w:rsidRPr="00F1621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71122"/>
    <w:multiLevelType w:val="multilevel"/>
    <w:tmpl w:val="0C7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0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10"/>
    <w:rsid w:val="00073588"/>
    <w:rsid w:val="004046DF"/>
    <w:rsid w:val="00960A45"/>
    <w:rsid w:val="00F16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38F5"/>
  <w15:chartTrackingRefBased/>
  <w15:docId w15:val="{D70BB7A6-7DD6-4E73-9080-F06995FF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10"/>
    <w:rPr>
      <w:rFonts w:eastAsiaTheme="majorEastAsia" w:cstheme="majorBidi"/>
      <w:color w:val="272727" w:themeColor="text1" w:themeTint="D8"/>
    </w:rPr>
  </w:style>
  <w:style w:type="paragraph" w:styleId="Title">
    <w:name w:val="Title"/>
    <w:basedOn w:val="Normal"/>
    <w:next w:val="Normal"/>
    <w:link w:val="TitleChar"/>
    <w:uiPriority w:val="10"/>
    <w:qFormat/>
    <w:rsid w:val="00F16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10"/>
    <w:pPr>
      <w:spacing w:before="160"/>
      <w:jc w:val="center"/>
    </w:pPr>
    <w:rPr>
      <w:i/>
      <w:iCs/>
      <w:color w:val="404040" w:themeColor="text1" w:themeTint="BF"/>
    </w:rPr>
  </w:style>
  <w:style w:type="character" w:customStyle="1" w:styleId="QuoteChar">
    <w:name w:val="Quote Char"/>
    <w:basedOn w:val="DefaultParagraphFont"/>
    <w:link w:val="Quote"/>
    <w:uiPriority w:val="29"/>
    <w:rsid w:val="00F16210"/>
    <w:rPr>
      <w:i/>
      <w:iCs/>
      <w:color w:val="404040" w:themeColor="text1" w:themeTint="BF"/>
    </w:rPr>
  </w:style>
  <w:style w:type="paragraph" w:styleId="ListParagraph">
    <w:name w:val="List Paragraph"/>
    <w:basedOn w:val="Normal"/>
    <w:uiPriority w:val="34"/>
    <w:qFormat/>
    <w:rsid w:val="00F16210"/>
    <w:pPr>
      <w:ind w:left="720"/>
      <w:contextualSpacing/>
    </w:pPr>
  </w:style>
  <w:style w:type="character" w:styleId="IntenseEmphasis">
    <w:name w:val="Intense Emphasis"/>
    <w:basedOn w:val="DefaultParagraphFont"/>
    <w:uiPriority w:val="21"/>
    <w:qFormat/>
    <w:rsid w:val="00F16210"/>
    <w:rPr>
      <w:i/>
      <w:iCs/>
      <w:color w:val="0F4761" w:themeColor="accent1" w:themeShade="BF"/>
    </w:rPr>
  </w:style>
  <w:style w:type="paragraph" w:styleId="IntenseQuote">
    <w:name w:val="Intense Quote"/>
    <w:basedOn w:val="Normal"/>
    <w:next w:val="Normal"/>
    <w:link w:val="IntenseQuoteChar"/>
    <w:uiPriority w:val="30"/>
    <w:qFormat/>
    <w:rsid w:val="00F16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210"/>
    <w:rPr>
      <w:i/>
      <w:iCs/>
      <w:color w:val="0F4761" w:themeColor="accent1" w:themeShade="BF"/>
    </w:rPr>
  </w:style>
  <w:style w:type="character" w:styleId="IntenseReference">
    <w:name w:val="Intense Reference"/>
    <w:basedOn w:val="DefaultParagraphFont"/>
    <w:uiPriority w:val="32"/>
    <w:qFormat/>
    <w:rsid w:val="00F16210"/>
    <w:rPr>
      <w:b/>
      <w:bCs/>
      <w:smallCaps/>
      <w:color w:val="0F4761" w:themeColor="accent1" w:themeShade="BF"/>
      <w:spacing w:val="5"/>
    </w:rPr>
  </w:style>
  <w:style w:type="paragraph" w:styleId="Header">
    <w:name w:val="header"/>
    <w:basedOn w:val="Normal"/>
    <w:link w:val="HeaderChar"/>
    <w:uiPriority w:val="99"/>
    <w:unhideWhenUsed/>
    <w:rsid w:val="00F16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Mohammed Ajmal</dc:creator>
  <cp:keywords/>
  <dc:description/>
  <cp:lastModifiedBy>KHAN Mohammed Ajmal</cp:lastModifiedBy>
  <cp:revision>1</cp:revision>
  <dcterms:created xsi:type="dcterms:W3CDTF">2026-08-17T05:42:00Z</dcterms:created>
  <dcterms:modified xsi:type="dcterms:W3CDTF">2026-08-17T05:43:00Z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3cc309ac,31493868,1eddf81</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