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61.png" ContentType="image/png"/>
  <Override PartName="/word/media/image21.png" ContentType="image/png"/>
  <Override PartName="/word/media/image58.png" ContentType="image/png"/>
  <Override PartName="/word/media/image22.png" ContentType="image/png"/>
  <Override PartName="/word/media/image59.png" ContentType="image/png"/>
  <Override PartName="/word/media/image68.png" ContentType="image/png"/>
  <Override PartName="/word/media/image31.png" ContentType="image/png"/>
  <Override PartName="/word/media/image67.png" ContentType="image/png"/>
  <Override PartName="/word/media/image30.png" ContentType="image/png"/>
  <Override PartName="/word/media/image66.png" ContentType="image/png"/>
  <Override PartName="/word/media/image29.png" ContentType="image/png"/>
  <Override PartName="/word/media/image65.png" ContentType="image/png"/>
  <Override PartName="/word/media/image28.png" ContentType="image/png"/>
  <Override PartName="/word/media/image25.png" ContentType="image/png"/>
  <Override PartName="/word/media/image62.png" ContentType="image/png"/>
  <Override PartName="/word/media/image64.png" ContentType="image/png"/>
  <Override PartName="/word/media/image27.png" ContentType="image/png"/>
  <Override PartName="/word/media/image24.png" ContentType="image/png"/>
  <Override PartName="/word/media/image63.png" ContentType="image/png"/>
  <Override PartName="/word/media/image26.png" ContentType="image/png"/>
  <Override PartName="/word/media/image23.png" ContentType="image/png"/>
  <Override PartName="/word/media/image60.png" ContentType="image/png"/>
  <Override PartName="/word/media/image1.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media/image32.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120"/>
        <w:rPr/>
      </w:pPr>
      <w:r>
        <w:rPr>
          <w:b/>
          <w:bCs/>
          <w:color w:val="0B7A70"/>
          <w:spacing w:val="50"/>
          <w:sz w:val="20"/>
          <w:szCs w:val="20"/>
        </w:rPr>
        <w:t>COMPTE RENDU DE TRAVAUX PRATIQUES</w:t>
      </w:r>
    </w:p>
    <w:p>
      <w:pPr>
        <w:pStyle w:val="Normal"/>
        <w:spacing w:before="0" w:after="120"/>
        <w:rPr/>
      </w:pPr>
      <w:r>
        <w:rPr>
          <w:b/>
          <w:bCs/>
          <w:color w:val="0B2545"/>
          <w:sz w:val="68"/>
          <w:szCs w:val="68"/>
        </w:rPr>
        <w:t>TP02 — OpenStack Identity</w:t>
      </w:r>
    </w:p>
    <w:p>
      <w:pPr>
        <w:pStyle w:val="Normal"/>
        <w:pBdr>
          <w:bottom w:val="single" w:sz="18" w:space="14" w:color="0F9D8F"/>
        </w:pBdr>
        <w:spacing w:before="0" w:after="240"/>
        <w:rPr/>
      </w:pPr>
      <w:r>
        <w:rPr>
          <w:color w:val="374151"/>
          <w:sz w:val="32"/>
          <w:szCs w:val="32"/>
        </w:rPr>
        <w:t>Keystone : projets, utilisateurs, rôles et contrôle d’accès</w:t>
      </w:r>
    </w:p>
    <w:p>
      <w:pPr>
        <w:pStyle w:val="Normal"/>
        <w:spacing w:before="0" w:after="1800"/>
        <w:rPr/>
      </w:pPr>
      <w:r>
        <w:rPr/>
      </w:r>
    </w:p>
    <w:tbl>
      <w:tblPr>
        <w:tblW w:w="9638" w:type="dxa"/>
        <w:jc w:val="left"/>
        <w:tblInd w:w="0" w:type="dxa"/>
        <w:tblLayout w:type="fixed"/>
        <w:tblCellMar>
          <w:top w:w="110" w:type="dxa"/>
          <w:left w:w="0" w:type="dxa"/>
          <w:bottom w:w="110" w:type="dxa"/>
          <w:right w:w="100" w:type="dxa"/>
        </w:tblCellMar>
      </w:tblPr>
      <w:tblGrid>
        <w:gridCol w:w="2600"/>
        <w:gridCol w:w="7037"/>
      </w:tblGrid>
      <w:tr>
        <w:trPr/>
        <w:tc>
          <w:tcPr>
            <w:tcW w:w="2600" w:type="dxa"/>
            <w:tcBorders>
              <w:bottom w:val="single" w:sz="4" w:space="0" w:color="D8DEE6"/>
            </w:tcBorders>
          </w:tcPr>
          <w:p>
            <w:pPr>
              <w:pStyle w:val="Normal"/>
              <w:rPr/>
            </w:pPr>
            <w:r>
              <w:rPr>
                <w:b/>
                <w:bCs/>
                <w:color w:val="6B7280"/>
                <w:spacing w:val="20"/>
                <w:sz w:val="17"/>
                <w:szCs w:val="17"/>
              </w:rPr>
              <w:t>ÉTUDIANT</w:t>
            </w:r>
          </w:p>
        </w:tc>
        <w:tc>
          <w:tcPr>
            <w:tcW w:w="7037" w:type="dxa"/>
            <w:tcBorders>
              <w:bottom w:val="single" w:sz="4" w:space="0" w:color="D8DEE6"/>
            </w:tcBorders>
            <w:tcMar>
              <w:left w:w="100" w:type="dxa"/>
              <w:right w:w="0" w:type="dxa"/>
            </w:tcMar>
          </w:tcPr>
          <w:p>
            <w:pPr>
              <w:pStyle w:val="Normal"/>
              <w:rPr/>
            </w:pPr>
            <w:r>
              <w:rPr>
                <w:color w:val="1F2937"/>
                <w:sz w:val="22"/>
                <w:szCs w:val="22"/>
              </w:rPr>
              <w:t>Ons Ajmi</w:t>
            </w:r>
          </w:p>
        </w:tc>
      </w:tr>
      <w:tr>
        <w:trPr/>
        <w:tc>
          <w:tcPr>
            <w:tcW w:w="2600" w:type="dxa"/>
            <w:tcBorders>
              <w:bottom w:val="single" w:sz="4" w:space="0" w:color="D8DEE6"/>
            </w:tcBorders>
          </w:tcPr>
          <w:p>
            <w:pPr>
              <w:pStyle w:val="Normal"/>
              <w:rPr/>
            </w:pPr>
            <w:r>
              <w:rPr>
                <w:b/>
                <w:bCs/>
                <w:color w:val="6B7280"/>
                <w:spacing w:val="20"/>
                <w:sz w:val="17"/>
                <w:szCs w:val="17"/>
              </w:rPr>
              <w:t>ÉTABLISSEMENT</w:t>
            </w:r>
          </w:p>
        </w:tc>
        <w:tc>
          <w:tcPr>
            <w:tcW w:w="7037" w:type="dxa"/>
            <w:tcBorders>
              <w:bottom w:val="single" w:sz="4" w:space="0" w:color="D8DEE6"/>
            </w:tcBorders>
            <w:tcMar>
              <w:left w:w="100" w:type="dxa"/>
              <w:right w:w="0" w:type="dxa"/>
            </w:tcMar>
          </w:tcPr>
          <w:p>
            <w:pPr>
              <w:pStyle w:val="Normal"/>
              <w:rPr/>
            </w:pPr>
            <w:r>
              <w:rPr>
                <w:color w:val="1F2937"/>
                <w:sz w:val="22"/>
                <w:szCs w:val="22"/>
              </w:rPr>
              <w:t>TEK-UP University</w:t>
            </w:r>
          </w:p>
        </w:tc>
      </w:tr>
      <w:tr>
        <w:trPr/>
        <w:tc>
          <w:tcPr>
            <w:tcW w:w="2600" w:type="dxa"/>
            <w:tcBorders>
              <w:bottom w:val="single" w:sz="4" w:space="0" w:color="D8DEE6"/>
            </w:tcBorders>
          </w:tcPr>
          <w:p>
            <w:pPr>
              <w:pStyle w:val="Normal"/>
              <w:rPr/>
            </w:pPr>
            <w:r>
              <w:rPr>
                <w:b/>
                <w:bCs/>
                <w:color w:val="6B7280"/>
                <w:spacing w:val="20"/>
                <w:sz w:val="17"/>
                <w:szCs w:val="17"/>
              </w:rPr>
              <w:t>MODULE</w:t>
            </w:r>
          </w:p>
        </w:tc>
        <w:tc>
          <w:tcPr>
            <w:tcW w:w="7037" w:type="dxa"/>
            <w:tcBorders>
              <w:bottom w:val="single" w:sz="4" w:space="0" w:color="D8DEE6"/>
            </w:tcBorders>
            <w:tcMar>
              <w:left w:w="100" w:type="dxa"/>
              <w:right w:w="0" w:type="dxa"/>
            </w:tcMar>
          </w:tcPr>
          <w:p>
            <w:pPr>
              <w:pStyle w:val="Normal"/>
              <w:rPr/>
            </w:pPr>
            <w:r>
              <w:rPr>
                <w:color w:val="1F2937"/>
                <w:sz w:val="22"/>
                <w:szCs w:val="22"/>
              </w:rPr>
              <w:t>Infrastructures cloud natives (2026-2027)</w:t>
            </w:r>
          </w:p>
        </w:tc>
      </w:tr>
      <w:tr>
        <w:trPr/>
        <w:tc>
          <w:tcPr>
            <w:tcW w:w="2600" w:type="dxa"/>
            <w:tcBorders>
              <w:bottom w:val="single" w:sz="4" w:space="0" w:color="D8DEE6"/>
            </w:tcBorders>
          </w:tcPr>
          <w:p>
            <w:pPr>
              <w:pStyle w:val="Normal"/>
              <w:rPr/>
            </w:pPr>
            <w:r>
              <w:rPr>
                <w:b/>
                <w:bCs/>
                <w:color w:val="6B7280"/>
                <w:spacing w:val="20"/>
                <w:sz w:val="17"/>
                <w:szCs w:val="17"/>
              </w:rPr>
              <w:t>SUPPORT DE TP</w:t>
            </w:r>
          </w:p>
        </w:tc>
        <w:tc>
          <w:tcPr>
            <w:tcW w:w="7037" w:type="dxa"/>
            <w:tcBorders>
              <w:bottom w:val="single" w:sz="4" w:space="0" w:color="D8DEE6"/>
            </w:tcBorders>
            <w:tcMar>
              <w:left w:w="100" w:type="dxa"/>
              <w:right w:w="0" w:type="dxa"/>
            </w:tcMar>
          </w:tcPr>
          <w:p>
            <w:pPr>
              <w:pStyle w:val="Normal"/>
              <w:rPr/>
            </w:pPr>
            <w:r>
              <w:rPr>
                <w:color w:val="1F2937"/>
                <w:sz w:val="22"/>
                <w:szCs w:val="22"/>
              </w:rPr>
              <w:t>© 2026 Mme Maymouna Ben Said</w:t>
            </w:r>
          </w:p>
        </w:tc>
      </w:tr>
      <w:tr>
        <w:trPr/>
        <w:tc>
          <w:tcPr>
            <w:tcW w:w="2600" w:type="dxa"/>
            <w:tcBorders>
              <w:bottom w:val="single" w:sz="4" w:space="0" w:color="D8DEE6"/>
            </w:tcBorders>
          </w:tcPr>
          <w:p>
            <w:pPr>
              <w:pStyle w:val="Normal"/>
              <w:rPr/>
            </w:pPr>
            <w:r>
              <w:rPr>
                <w:b/>
                <w:bCs/>
                <w:color w:val="6B7280"/>
                <w:spacing w:val="20"/>
                <w:sz w:val="17"/>
                <w:szCs w:val="17"/>
              </w:rPr>
              <w:t>PARTIES TRAITÉES</w:t>
            </w:r>
          </w:p>
        </w:tc>
        <w:tc>
          <w:tcPr>
            <w:tcW w:w="7037" w:type="dxa"/>
            <w:tcBorders>
              <w:bottom w:val="single" w:sz="4" w:space="0" w:color="D8DEE6"/>
            </w:tcBorders>
            <w:tcMar>
              <w:left w:w="100" w:type="dxa"/>
              <w:right w:w="0" w:type="dxa"/>
            </w:tcMar>
          </w:tcPr>
          <w:p>
            <w:pPr>
              <w:pStyle w:val="Normal"/>
              <w:rPr/>
            </w:pPr>
            <w:r>
              <w:rPr>
                <w:color w:val="1F2937"/>
                <w:sz w:val="22"/>
                <w:szCs w:val="22"/>
              </w:rPr>
              <w:t>Parties 1 à 3 — questions Q1 à Q13</w:t>
            </w:r>
          </w:p>
        </w:tc>
      </w:tr>
    </w:tbl>
    <w:p>
      <w:pPr>
        <w:pStyle w:val="Normal"/>
        <w:rPr/>
      </w:pPr>
      <w:r>
        <w:br w:type="page"/>
      </w:r>
      <w:r>
        <w:rPr/>
      </w:r>
    </w:p>
    <w:p>
      <w:pPr>
        <w:pStyle w:val="Normal"/>
        <w:pBdr>
          <w:bottom w:val="single" w:sz="12" w:space="6" w:color="0F9D8F"/>
        </w:pBdr>
        <w:spacing w:before="0" w:after="200"/>
        <w:rPr/>
      </w:pPr>
      <w:r>
        <w:rPr>
          <w:b/>
          <w:bCs/>
          <w:color w:val="0B2545"/>
          <w:sz w:val="36"/>
          <w:szCs w:val="36"/>
        </w:rPr>
        <w:t>Sommaire</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552_1376105353">
            <w:r>
              <w:rPr>
                <w:rStyle w:val="IndexLink"/>
              </w:rPr>
              <w:t>Partie 1 — De la CLI aux API REST d'OpenStack</w:t>
              <w:tab/>
              <w:t>3</w:t>
            </w:r>
          </w:hyperlink>
        </w:p>
        <w:p>
          <w:pPr>
            <w:pStyle w:val="TOC2"/>
            <w:tabs>
              <w:tab w:val="clear" w:pos="720"/>
              <w:tab w:val="right" w:pos="9637" w:leader="dot"/>
            </w:tabs>
            <w:rPr/>
          </w:pPr>
          <w:hyperlink w:anchor="__RefHeading___Toc1554_1376105353">
            <w:r>
              <w:rPr>
                <w:rStyle w:val="IndexLink"/>
              </w:rPr>
              <w:t>1.1 Charger son identité : source openrc</w:t>
              <w:tab/>
              <w:t>3</w:t>
            </w:r>
          </w:hyperlink>
        </w:p>
        <w:p>
          <w:pPr>
            <w:pStyle w:val="TOC2"/>
            <w:tabs>
              <w:tab w:val="clear" w:pos="720"/>
              <w:tab w:val="right" w:pos="9637" w:leader="dot"/>
            </w:tabs>
            <w:rPr/>
          </w:pPr>
          <w:hyperlink w:anchor="__RefHeading___Toc1556_1376105353">
            <w:r>
              <w:rPr>
                <w:rStyle w:val="IndexLink"/>
              </w:rPr>
              <w:t>1.2 Jeton (token), catalogue et endpoints</w:t>
              <w:tab/>
              <w:t>4</w:t>
            </w:r>
          </w:hyperlink>
        </w:p>
        <w:p>
          <w:pPr>
            <w:pStyle w:val="TOC3"/>
            <w:tabs>
              <w:tab w:val="clear" w:pos="720"/>
              <w:tab w:val="right" w:pos="9637" w:leader="dot"/>
            </w:tabs>
            <w:rPr/>
          </w:pPr>
          <w:hyperlink w:anchor="__RefHeading___Toc1558_1376105353">
            <w:r>
              <w:rPr>
                <w:rStyle w:val="IndexLink"/>
              </w:rPr>
              <w:t>1.2.1 Jeton (token)</w:t>
              <w:tab/>
              <w:t>4</w:t>
            </w:r>
          </w:hyperlink>
        </w:p>
        <w:p>
          <w:pPr>
            <w:pStyle w:val="TOC3"/>
            <w:tabs>
              <w:tab w:val="clear" w:pos="720"/>
              <w:tab w:val="right" w:pos="9637" w:leader="dot"/>
            </w:tabs>
            <w:rPr/>
          </w:pPr>
          <w:hyperlink w:anchor="__RefHeading___Toc1560_1376105353">
            <w:r>
              <w:rPr>
                <w:rStyle w:val="IndexLink"/>
              </w:rPr>
              <w:t>1.2.2 Catalogue</w:t>
              <w:tab/>
              <w:t>5</w:t>
            </w:r>
          </w:hyperlink>
        </w:p>
        <w:p>
          <w:pPr>
            <w:pStyle w:val="TOC3"/>
            <w:tabs>
              <w:tab w:val="clear" w:pos="720"/>
              <w:tab w:val="right" w:pos="9637" w:leader="dot"/>
            </w:tabs>
            <w:rPr/>
          </w:pPr>
          <w:hyperlink w:anchor="__RefHeading___Toc1562_1376105353">
            <w:r>
              <w:rPr>
                <w:rStyle w:val="IndexLink"/>
              </w:rPr>
              <w:t>1.2.3 Endpoints</w:t>
              <w:tab/>
              <w:t>6</w:t>
            </w:r>
          </w:hyperlink>
        </w:p>
        <w:p>
          <w:pPr>
            <w:pStyle w:val="TOC2"/>
            <w:tabs>
              <w:tab w:val="clear" w:pos="720"/>
              <w:tab w:val="right" w:pos="9637" w:leader="dot"/>
            </w:tabs>
            <w:rPr/>
          </w:pPr>
          <w:hyperlink w:anchor="__RefHeading___Toc1564_1376105353">
            <w:r>
              <w:rPr>
                <w:rStyle w:val="IndexLink"/>
              </w:rPr>
              <w:t>1.3 Observer une commande en mode debug</w:t>
              <w:tab/>
              <w:t>9</w:t>
            </w:r>
          </w:hyperlink>
        </w:p>
        <w:p>
          <w:pPr>
            <w:pStyle w:val="TOC2"/>
            <w:tabs>
              <w:tab w:val="clear" w:pos="720"/>
              <w:tab w:val="right" w:pos="9637" w:leader="dot"/>
            </w:tabs>
            <w:rPr/>
          </w:pPr>
          <w:hyperlink w:anchor="__RefHeading___Toc1566_1376105353">
            <w:r>
              <w:rPr>
                <w:rStyle w:val="IndexLink"/>
              </w:rPr>
              <w:t>1.4 Interroger l'API sans la CLI</w:t>
              <w:tab/>
              <w:t>10</w:t>
            </w:r>
          </w:hyperlink>
        </w:p>
        <w:p>
          <w:pPr>
            <w:pStyle w:val="TOC3"/>
            <w:tabs>
              <w:tab w:val="clear" w:pos="720"/>
              <w:tab w:val="right" w:pos="9637" w:leader="dot"/>
            </w:tabs>
            <w:rPr/>
          </w:pPr>
          <w:hyperlink w:anchor="__RefHeading___Toc1568_1376105353">
            <w:r>
              <w:rPr>
                <w:rStyle w:val="IndexLink"/>
              </w:rPr>
              <w:t>1.4.1 Jeton et URL de Nova (récupérés une fois avec la CLI)</w:t>
              <w:tab/>
              <w:t>11</w:t>
            </w:r>
          </w:hyperlink>
        </w:p>
        <w:p>
          <w:pPr>
            <w:pStyle w:val="TOC3"/>
            <w:tabs>
              <w:tab w:val="clear" w:pos="720"/>
              <w:tab w:val="right" w:pos="9637" w:leader="dot"/>
            </w:tabs>
            <w:rPr/>
          </w:pPr>
          <w:hyperlink w:anchor="__RefHeading___Toc1570_1376105353">
            <w:r>
              <w:rPr>
                <w:rStyle w:val="IndexLink"/>
              </w:rPr>
              <w:t>1.4.2 Appel direct à l'API de Nova</w:t>
              <w:tab/>
              <w:t>11</w:t>
            </w:r>
          </w:hyperlink>
        </w:p>
        <w:p>
          <w:pPr>
            <w:pStyle w:val="TOC3"/>
            <w:tabs>
              <w:tab w:val="clear" w:pos="720"/>
              <w:tab w:val="right" w:pos="9637" w:leader="dot"/>
            </w:tabs>
            <w:rPr/>
          </w:pPr>
          <w:hyperlink w:anchor="__RefHeading___Toc1572_1376105353">
            <w:r>
              <w:rPr>
                <w:rStyle w:val="IndexLink"/>
              </w:rPr>
              <w:t>1.4.3 Révocation d'un jeton</w:t>
              <w:tab/>
              <w:t>12</w:t>
            </w:r>
          </w:hyperlink>
        </w:p>
        <w:p>
          <w:pPr>
            <w:pStyle w:val="TOC1"/>
            <w:tabs>
              <w:tab w:val="clear" w:pos="720"/>
              <w:tab w:val="right" w:pos="9637" w:leader="dot"/>
            </w:tabs>
            <w:rPr/>
          </w:pPr>
          <w:hyperlink w:anchor="__RefHeading___Toc1574_1376105353">
            <w:r>
              <w:rPr>
                <w:rStyle w:val="IndexLink"/>
              </w:rPr>
              <w:t>Partie 2 — Projets, utilisateurs et rôles</w:t>
              <w:tab/>
              <w:t>13</w:t>
            </w:r>
          </w:hyperlink>
        </w:p>
        <w:p>
          <w:pPr>
            <w:pStyle w:val="TOC2"/>
            <w:tabs>
              <w:tab w:val="clear" w:pos="720"/>
              <w:tab w:val="right" w:pos="9637" w:leader="dot"/>
            </w:tabs>
            <w:rPr/>
          </w:pPr>
          <w:hyperlink w:anchor="__RefHeading___Toc1576_1376105353">
            <w:r>
              <w:rPr>
                <w:rStyle w:val="IndexLink"/>
              </w:rPr>
              <w:t>2.1 Explorer l'existant</w:t>
              <w:tab/>
              <w:t>13</w:t>
            </w:r>
          </w:hyperlink>
        </w:p>
        <w:p>
          <w:pPr>
            <w:pStyle w:val="TOC2"/>
            <w:tabs>
              <w:tab w:val="clear" w:pos="720"/>
              <w:tab w:val="right" w:pos="9637" w:leader="dot"/>
            </w:tabs>
            <w:rPr/>
          </w:pPr>
          <w:hyperlink w:anchor="__RefHeading___Toc1578_1376105353">
            <w:r>
              <w:rPr>
                <w:rStyle w:val="IndexLink"/>
              </w:rPr>
              <w:t>2.2 Créer projets, utilisateurs et attributions</w:t>
              <w:tab/>
              <w:t>15</w:t>
            </w:r>
          </w:hyperlink>
        </w:p>
        <w:p>
          <w:pPr>
            <w:pStyle w:val="TOC2"/>
            <w:tabs>
              <w:tab w:val="clear" w:pos="720"/>
              <w:tab w:val="right" w:pos="9637" w:leader="dot"/>
            </w:tabs>
            <w:rPr/>
          </w:pPr>
          <w:hyperlink w:anchor="__RefHeading___Toc1580_1376105353">
            <w:r>
              <w:rPr>
                <w:rStyle w:val="IndexLink"/>
              </w:rPr>
              <w:t>2.3 Un profil par identité avec clouds.yaml</w:t>
              <w:tab/>
              <w:t>17</w:t>
            </w:r>
          </w:hyperlink>
        </w:p>
        <w:p>
          <w:pPr>
            <w:pStyle w:val="TOC2"/>
            <w:tabs>
              <w:tab w:val="clear" w:pos="720"/>
              <w:tab w:val="right" w:pos="9637" w:leader="dot"/>
            </w:tabs>
            <w:rPr/>
          </w:pPr>
          <w:hyperlink w:anchor="__RefHeading___Toc1582_1376105353">
            <w:r>
              <w:rPr>
                <w:rStyle w:val="IndexLink"/>
              </w:rPr>
              <w:t>2.4 Groupes</w:t>
              <w:tab/>
              <w:t>21</w:t>
            </w:r>
          </w:hyperlink>
        </w:p>
        <w:p>
          <w:pPr>
            <w:pStyle w:val="TOC1"/>
            <w:tabs>
              <w:tab w:val="clear" w:pos="720"/>
              <w:tab w:val="right" w:pos="9637" w:leader="dot"/>
            </w:tabs>
            <w:rPr/>
          </w:pPr>
          <w:hyperlink w:anchor="__RefHeading___Toc1584_1376105353">
            <w:r>
              <w:rPr>
                <w:rStyle w:val="IndexLink"/>
              </w:rPr>
              <w:t>Partie 3 — Isolation et contrôle d'accès</w:t>
              <w:tab/>
              <w:t>23</w:t>
            </w:r>
          </w:hyperlink>
        </w:p>
        <w:p>
          <w:pPr>
            <w:pStyle w:val="TOC2"/>
            <w:tabs>
              <w:tab w:val="clear" w:pos="720"/>
              <w:tab w:val="right" w:pos="9637" w:leader="dot"/>
            </w:tabs>
            <w:rPr/>
          </w:pPr>
          <w:hyperlink w:anchor="__RefHeading___Toc1586_1376105353">
            <w:r>
              <w:rPr>
                <w:rStyle w:val="IndexLink"/>
              </w:rPr>
              <w:t>3.1 Candace déploie l'infrastructure de l'équipe A</w:t>
              <w:tab/>
              <w:t>23</w:t>
            </w:r>
          </w:hyperlink>
        </w:p>
        <w:p>
          <w:pPr>
            <w:pStyle w:val="TOC2"/>
            <w:tabs>
              <w:tab w:val="clear" w:pos="720"/>
              <w:tab w:val="right" w:pos="9637" w:leader="dot"/>
            </w:tabs>
            <w:rPr/>
          </w:pPr>
          <w:hyperlink w:anchor="__RefHeading___Toc1588_1376105353">
            <w:r>
              <w:rPr>
                <w:rStyle w:val="IndexLink"/>
              </w:rPr>
              <w:t>3.2 Baron tente d'accéder aux ressources de l'équipe A</w:t>
              <w:tab/>
              <w:t>26</w:t>
            </w:r>
          </w:hyperlink>
        </w:p>
        <w:p>
          <w:pPr>
            <w:pStyle w:val="TOC2"/>
            <w:tabs>
              <w:tab w:val="clear" w:pos="720"/>
              <w:tab w:val="right" w:pos="9637" w:leader="dot"/>
            </w:tabs>
            <w:rPr/>
          </w:pPr>
          <w:hyperlink w:anchor="__RefHeading___Toc1590_1376105353">
            <w:r>
              <w:rPr>
                <w:rStyle w:val="IndexLink"/>
              </w:rPr>
              <w:t>3.3 Ian, lecteur de l'équipe A</w:t>
              <w:tab/>
              <w:t>28</w:t>
            </w:r>
          </w:hyperlink>
        </w:p>
        <w:p>
          <w:pPr>
            <w:pStyle w:val="TOC2"/>
            <w:tabs>
              <w:tab w:val="clear" w:pos="720"/>
              <w:tab w:val="right" w:pos="9637" w:leader="dot"/>
            </w:tabs>
            <w:rPr/>
          </w:pPr>
          <w:hyperlink w:anchor="__RefHeading___Toc1592_1376105353">
            <w:r>
              <w:rPr>
                <w:rStyle w:val="IndexLink"/>
              </w:rPr>
              <w:t>3.4 Ce qu'un membre ne peut pas faire</w:t>
              <w:tab/>
              <w:t>29</w:t>
            </w:r>
          </w:hyperlink>
        </w:p>
        <w:p>
          <w:pPr>
            <w:pStyle w:val="TOC2"/>
            <w:tabs>
              <w:tab w:val="clear" w:pos="720"/>
              <w:tab w:val="right" w:pos="9637" w:leader="dot"/>
            </w:tabs>
            <w:rPr/>
          </w:pPr>
          <w:hyperlink w:anchor="__RefHeading___Toc1594_1376105353">
            <w:r>
              <w:rPr>
                <w:rStyle w:val="IndexLink"/>
              </w:rPr>
              <w:t>3.5 Le cas d'admin : voir tous les projets</w:t>
              <w:tab/>
              <w:t>33</w:t>
            </w:r>
          </w:hyperlink>
          <w:r>
            <w:rPr>
              <w:rStyle w:val="IndexLink"/>
            </w:rPr>
            <w:fldChar w:fldCharType="end"/>
          </w:r>
        </w:p>
      </w:sdtContent>
    </w:sdt>
    <w:p>
      <w:pPr>
        <w:pStyle w:val="Normal"/>
        <w:rPr/>
      </w:pPr>
      <w:r>
        <w:rPr/>
      </w:r>
    </w:p>
    <w:p>
      <w:pPr>
        <w:pStyle w:val="Normal"/>
        <w:spacing w:before="300" w:after="0"/>
        <w:rPr/>
      </w:pPr>
      <w:r>
        <w:rPr/>
      </w:r>
    </w:p>
    <w:tbl>
      <w:tblPr>
        <w:tblW w:w="9638" w:type="dxa"/>
        <w:jc w:val="left"/>
        <w:tblInd w:w="0" w:type="dxa"/>
        <w:tblLayout w:type="fixed"/>
        <w:tblCellMar>
          <w:top w:w="110" w:type="dxa"/>
          <w:left w:w="200" w:type="dxa"/>
          <w:bottom w:w="90" w:type="dxa"/>
          <w:right w:w="160" w:type="dxa"/>
        </w:tblCellMar>
      </w:tblPr>
      <w:tblGrid>
        <w:gridCol w:w="9638"/>
      </w:tblGrid>
      <w:tr>
        <w:trPr>
          <w:cantSplit w:val="true"/>
        </w:trPr>
        <w:tc>
          <w:tcPr>
            <w:tcW w:w="9638" w:type="dxa"/>
            <w:tcBorders>
              <w:left w:val="single" w:sz="24" w:space="0" w:color="0B7A70"/>
            </w:tcBorders>
            <w:shd w:color="auto" w:fill="E8F6F4" w:val="clear"/>
          </w:tcPr>
          <w:p>
            <w:pPr>
              <w:pStyle w:val="Normal"/>
              <w:keepNext w:val="true"/>
              <w:spacing w:before="0" w:after="60"/>
              <w:rPr/>
            </w:pPr>
            <w:r>
              <w:rPr>
                <w:b/>
                <w:bCs/>
                <w:color w:val="0B7A70"/>
                <w:sz w:val="21"/>
                <w:szCs w:val="21"/>
              </w:rPr>
              <w:t>À propos de ce document</w:t>
            </w:r>
          </w:p>
          <w:p>
            <w:pPr>
              <w:pStyle w:val="Normal"/>
              <w:keepLines/>
              <w:spacing w:lineRule="auto" w:line="276" w:before="0" w:after="60"/>
              <w:rPr/>
            </w:pPr>
            <w:r>
              <w:rPr>
                <w:sz w:val="20"/>
                <w:szCs w:val="20"/>
              </w:rPr>
              <w:t>Ce compte rendu regroupe les manipulations réalisées pour les parties 1 à 3 du TP02, avec les commandes exécutées, les captures d’écran et les réponses aux questions Q1 à Q13.</w:t>
            </w:r>
          </w:p>
          <w:p>
            <w:pPr>
              <w:pStyle w:val="Normal"/>
              <w:keepLines/>
              <w:spacing w:lineRule="auto" w:line="276" w:before="0" w:after="60"/>
              <w:rPr/>
            </w:pPr>
            <w:r>
              <w:rPr>
                <w:sz w:val="20"/>
                <w:szCs w:val="20"/>
              </w:rPr>
              <w:t>Chaque question est suivie de sa réponse ; les blocs « À retenir » résument les points essentiels ; les figures sont numérotées et rattachées à leur section.</w:t>
            </w:r>
          </w:p>
        </w:tc>
      </w:tr>
    </w:tbl>
    <w:p>
      <w:pPr>
        <w:pStyle w:val="Normal"/>
        <w:spacing w:before="0" w:after="120"/>
        <w:rPr/>
      </w:pPr>
      <w:r>
        <w:rPr/>
      </w:r>
    </w:p>
    <w:p>
      <w:pPr>
        <w:pStyle w:val="Heading1"/>
        <w:rPr/>
      </w:pPr>
      <w:bookmarkStart w:id="0" w:name="__RefHeading___Toc1552_1376105353"/>
      <w:bookmarkEnd w:id="0"/>
      <w:r>
        <w:rPr/>
        <w:t>Partie 1 — De la CLI aux API REST d'OpenStack</w:t>
      </w:r>
    </w:p>
    <w:p>
      <w:pPr>
        <w:pStyle w:val="Normal"/>
        <w:keepLines/>
        <w:spacing w:lineRule="auto" w:line="276" w:before="0" w:after="140"/>
        <w:rPr/>
      </w:pPr>
      <w:r>
        <w:rPr>
          <w:i w:val="false"/>
          <w:iCs w:val="false"/>
          <w:color w:val="374151"/>
        </w:rPr>
        <w:t xml:space="preserve">La CLI </w:t>
      </w:r>
      <w:r>
        <w:rPr>
          <w:rFonts w:eastAsia="Courier New" w:cs="Courier New" w:ascii="Courier New" w:hAnsi="Courier New"/>
          <w:i w:val="false"/>
          <w:iCs w:val="false"/>
          <w:color w:val="B42318"/>
          <w:sz w:val="19"/>
          <w:szCs w:val="19"/>
          <w:shd w:fill="F3F5F8" w:val="clear"/>
        </w:rPr>
        <w:t>openstack</w:t>
      </w:r>
      <w:r>
        <w:rPr>
          <w:i w:val="false"/>
          <w:iCs w:val="false"/>
          <w:color w:val="374151"/>
        </w:rPr>
        <w:t xml:space="preserve"> n’est qu’un client HTTP : elle demande un jeton à Keystone, lit le catalogue pour trouver l’URL du service, puis appelle son API REST.</w:t>
      </w:r>
    </w:p>
    <w:p>
      <w:pPr>
        <w:pStyle w:val="Heading2"/>
        <w:rPr/>
      </w:pPr>
      <w:bookmarkStart w:id="1" w:name="__RefHeading___Toc1554_1376105353"/>
      <w:bookmarkEnd w:id="1"/>
      <w:r>
        <w:rPr/>
        <w:t>1.1 Charger son identité : source openrc</w:t>
      </w:r>
    </w:p>
    <w:p>
      <w:pPr>
        <w:pStyle w:val="Normal"/>
        <w:keepLines/>
        <w:spacing w:lineRule="auto" w:line="276" w:before="0" w:after="100"/>
        <w:rPr/>
      </w:pPr>
      <w:r>
        <w:rPr/>
        <w:t xml:space="preserve">Avant toute commande, la CLI doit savoir qui vous êtes et où se trouve Keystone. DevStack fournit pour cela le script </w:t>
      </w:r>
      <w:r>
        <w:rPr>
          <w:rFonts w:eastAsia="Courier New" w:cs="Courier New" w:ascii="Courier New" w:hAnsi="Courier New"/>
          <w:color w:val="B42318"/>
          <w:sz w:val="19"/>
          <w:szCs w:val="19"/>
          <w:shd w:fill="F3F5F8" w:val="clear"/>
        </w:rPr>
        <w:t>openrc</w:t>
      </w:r>
      <w:r>
        <w:rPr/>
        <w:t xml:space="preserve"> :</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cd ~/devstack</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source openrc admin admin</w:t>
      </w:r>
    </w:p>
    <w:p>
      <w:pPr>
        <w:pStyle w:val="Normal"/>
        <w:keepNext w:val="true"/>
        <w:spacing w:before="140" w:after="40"/>
        <w:jc w:val="center"/>
        <w:rPr/>
      </w:pPr>
      <w:r>
        <w:rPr/>
        <w:drawing>
          <wp:inline distT="0" distB="0" distL="0" distR="0">
            <wp:extent cx="5810250" cy="552450"/>
            <wp:effectExtent l="0" t="0" r="0" b="0"/>
            <wp:docPr id="1" name="fig1" descr="Figure 1&#10;Capture d'écran — S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Figure 1&#10;Capture d'écran — Section 1.1"/>
                    <pic:cNvPicPr>
                      <a:picLocks noChangeAspect="1" noChangeArrowheads="1"/>
                    </pic:cNvPicPr>
                  </pic:nvPicPr>
                  <pic:blipFill>
                    <a:blip r:embed="rId2"/>
                    <a:stretch>
                      <a:fillRect/>
                    </a:stretch>
                  </pic:blipFill>
                  <pic:spPr bwMode="auto">
                    <a:xfrm>
                      <a:off x="0" y="0"/>
                      <a:ext cx="5810250" cy="5524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 — Section 1.1</w:t>
      </w:r>
    </w:p>
    <w:p>
      <w:pPr>
        <w:pStyle w:val="Normal"/>
        <w:keepNext w:val="true"/>
        <w:spacing w:before="140" w:after="40"/>
        <w:jc w:val="center"/>
        <w:rPr/>
      </w:pPr>
      <w:r>
        <w:rPr/>
        <w:drawing>
          <wp:inline distT="0" distB="0" distL="0" distR="0">
            <wp:extent cx="5810250" cy="1400175"/>
            <wp:effectExtent l="0" t="0" r="0" b="0"/>
            <wp:docPr id="2" name="fig2" descr="Figure 2&#10;Capture d'écran — S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Figure 2&#10;Capture d'écran — Section 1.1"/>
                    <pic:cNvPicPr>
                      <a:picLocks noChangeAspect="1" noChangeArrowheads="1"/>
                    </pic:cNvPicPr>
                  </pic:nvPicPr>
                  <pic:blipFill>
                    <a:blip r:embed="rId3"/>
                    <a:stretch>
                      <a:fillRect/>
                    </a:stretch>
                  </pic:blipFill>
                  <pic:spPr bwMode="auto">
                    <a:xfrm>
                      <a:off x="0" y="0"/>
                      <a:ext cx="5810250" cy="14001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 — Section 1.1</w:t>
      </w:r>
    </w:p>
    <w:p>
      <w:pPr>
        <w:pStyle w:val="Normal"/>
        <w:keepNext w:val="true"/>
        <w:spacing w:before="140" w:after="40"/>
        <w:jc w:val="center"/>
        <w:rPr/>
      </w:pPr>
      <w:r>
        <w:rPr/>
        <w:drawing>
          <wp:inline distT="0" distB="0" distL="0" distR="0">
            <wp:extent cx="5810250" cy="381000"/>
            <wp:effectExtent l="0" t="0" r="0" b="0"/>
            <wp:docPr id="3" name="fig3" descr="Figure 3&#10;Capture d'écran — S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descr="Figure 3&#10;Capture d'écran — Section 1.1"/>
                    <pic:cNvPicPr>
                      <a:picLocks noChangeAspect="1" noChangeArrowheads="1"/>
                    </pic:cNvPicPr>
                  </pic:nvPicPr>
                  <pic:blipFill>
                    <a:blip r:embed="rId4"/>
                    <a:stretch>
                      <a:fillRect/>
                    </a:stretch>
                  </pic:blipFill>
                  <pic:spPr bwMode="auto">
                    <a:xfrm>
                      <a:off x="0" y="0"/>
                      <a:ext cx="5810250" cy="3810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 — Section 1.1</w:t>
      </w:r>
    </w:p>
    <w:p>
      <w:pPr>
        <w:pStyle w:val="Normal"/>
        <w:keepNext w:val="true"/>
        <w:spacing w:before="140" w:after="40"/>
        <w:jc w:val="center"/>
        <w:rPr/>
      </w:pPr>
      <w:r>
        <w:rPr/>
        <w:drawing>
          <wp:inline distT="0" distB="0" distL="0" distR="0">
            <wp:extent cx="5810250" cy="1457325"/>
            <wp:effectExtent l="0" t="0" r="0" b="0"/>
            <wp:docPr id="4" name="fig4" descr="Figure 4&#10;Capture d'écran — S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descr="Figure 4&#10;Capture d'écran — Section 1.1"/>
                    <pic:cNvPicPr>
                      <a:picLocks noChangeAspect="1" noChangeArrowheads="1"/>
                    </pic:cNvPicPr>
                  </pic:nvPicPr>
                  <pic:blipFill>
                    <a:blip r:embed="rId5"/>
                    <a:stretch>
                      <a:fillRect/>
                    </a:stretch>
                  </pic:blipFill>
                  <pic:spPr bwMode="auto">
                    <a:xfrm>
                      <a:off x="0" y="0"/>
                      <a:ext cx="5810250" cy="14573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 — Section 1.1</w:t>
      </w:r>
    </w:p>
    <w:p>
      <w:pPr>
        <w:pStyle w:val="Normal"/>
        <w:keepNext w:val="true"/>
        <w:spacing w:before="140" w:after="40"/>
        <w:jc w:val="center"/>
        <w:rPr/>
      </w:pPr>
      <w:r>
        <w:rPr/>
        <w:drawing>
          <wp:inline distT="0" distB="0" distL="0" distR="0">
            <wp:extent cx="5810250" cy="1600200"/>
            <wp:effectExtent l="0" t="0" r="0" b="0"/>
            <wp:docPr id="5" name="fig5" descr="Figure 5&#10;Capture d'écran — S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Figure 5&#10;Capture d'écran — Section 1.1"/>
                    <pic:cNvPicPr>
                      <a:picLocks noChangeAspect="1" noChangeArrowheads="1"/>
                    </pic:cNvPicPr>
                  </pic:nvPicPr>
                  <pic:blipFill>
                    <a:blip r:embed="rId6"/>
                    <a:stretch>
                      <a:fillRect/>
                    </a:stretch>
                  </pic:blipFill>
                  <pic:spPr bwMode="auto">
                    <a:xfrm>
                      <a:off x="0" y="0"/>
                      <a:ext cx="5810250" cy="16002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 — Section 1.1</w:t>
      </w:r>
    </w:p>
    <w:p>
      <w:pPr>
        <w:pStyle w:val="Normal"/>
        <w:keepNext w:val="true"/>
        <w:spacing w:before="140" w:after="40"/>
        <w:jc w:val="center"/>
        <w:rPr/>
      </w:pPr>
      <w:r>
        <w:rPr/>
        <w:drawing>
          <wp:inline distT="0" distB="0" distL="0" distR="0">
            <wp:extent cx="5810250" cy="1600200"/>
            <wp:effectExtent l="0" t="0" r="0" b="0"/>
            <wp:docPr id="6" name="fig6" descr="Figure 6&#10;Capture d'écran — S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Figure 6&#10;Capture d'écran — Section 1.1"/>
                    <pic:cNvPicPr>
                      <a:picLocks noChangeAspect="1" noChangeArrowheads="1"/>
                    </pic:cNvPicPr>
                  </pic:nvPicPr>
                  <pic:blipFill>
                    <a:blip r:embed="rId7"/>
                    <a:stretch>
                      <a:fillRect/>
                    </a:stretch>
                  </pic:blipFill>
                  <pic:spPr bwMode="auto">
                    <a:xfrm>
                      <a:off x="0" y="0"/>
                      <a:ext cx="5810250" cy="16002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 — Section 1.1</w:t>
      </w:r>
    </w:p>
    <w:tbl>
      <w:tblPr>
        <w:tblW w:w="9638" w:type="dxa"/>
        <w:jc w:val="left"/>
        <w:tblInd w:w="0" w:type="dxa"/>
        <w:tblLayout w:type="fixed"/>
        <w:tblCellMar>
          <w:top w:w="110" w:type="dxa"/>
          <w:left w:w="200" w:type="dxa"/>
          <w:bottom w:w="90" w:type="dxa"/>
          <w:right w:w="160" w:type="dxa"/>
        </w:tblCellMar>
      </w:tblPr>
      <w:tblGrid>
        <w:gridCol w:w="9638"/>
      </w:tblGrid>
      <w:tr>
        <w:trPr>
          <w:cantSplit w:val="true"/>
        </w:trPr>
        <w:tc>
          <w:tcPr>
            <w:tcW w:w="9638" w:type="dxa"/>
            <w:tcBorders>
              <w:left w:val="single" w:sz="24" w:space="0" w:color="0B7A70"/>
            </w:tcBorders>
            <w:shd w:color="auto" w:fill="E8F6F4" w:val="clear"/>
          </w:tcPr>
          <w:p>
            <w:pPr>
              <w:pStyle w:val="Normal"/>
              <w:keepNext w:val="true"/>
              <w:spacing w:before="0" w:after="60"/>
              <w:rPr/>
            </w:pPr>
            <w:r>
              <w:rPr>
                <w:b/>
                <w:bCs/>
                <w:color w:val="0B7A70"/>
                <w:sz w:val="21"/>
                <w:szCs w:val="21"/>
              </w:rPr>
              <w:t>À retenir</w:t>
            </w:r>
          </w:p>
          <w:p>
            <w:pPr>
              <w:pStyle w:val="Normal"/>
              <w:keepLines/>
              <w:spacing w:lineRule="auto" w:line="276" w:before="0" w:after="60"/>
              <w:rPr/>
            </w:pPr>
            <w:r>
              <w:rPr>
                <w:sz w:val="20"/>
                <w:szCs w:val="20"/>
              </w:rPr>
              <w:t xml:space="preserve">ces variables ne contiennent </w:t>
            </w:r>
            <w:r>
              <w:rPr>
                <w:b/>
                <w:bCs/>
                <w:sz w:val="20"/>
                <w:szCs w:val="20"/>
              </w:rPr>
              <w:t>pas de jeton</w:t>
            </w:r>
            <w:r>
              <w:rPr>
                <w:sz w:val="20"/>
                <w:szCs w:val="20"/>
              </w:rPr>
              <w:t xml:space="preserve">, mais des </w:t>
            </w:r>
            <w:r>
              <w:rPr>
                <w:b/>
                <w:bCs/>
                <w:sz w:val="20"/>
                <w:szCs w:val="20"/>
              </w:rPr>
              <w:t>identifiants</w:t>
            </w:r>
            <w:r>
              <w:rPr>
                <w:sz w:val="20"/>
                <w:szCs w:val="20"/>
              </w:rPr>
              <w:t xml:space="preserve">. La CLI les envoie à Keystone à chaque commande pour obtenir un nouveau jeton. Elles n’existent que dans le terminal où elles ont été chargées : il faut refaire </w:t>
            </w:r>
            <w:r>
              <w:rPr>
                <w:rFonts w:eastAsia="Courier New" w:cs="Courier New" w:ascii="Courier New" w:hAnsi="Courier New"/>
                <w:color w:val="B42318"/>
                <w:sz w:val="18"/>
                <w:szCs w:val="18"/>
                <w:shd w:fill="F3F5F8" w:val="clear"/>
              </w:rPr>
              <w:t>source openrc</w:t>
            </w:r>
            <w:r>
              <w:rPr>
                <w:sz w:val="20"/>
                <w:szCs w:val="20"/>
              </w:rPr>
              <w:t xml:space="preserve"> dans chaque nouveau terminal ou nouvelle connexion SSH.</w:t>
            </w:r>
          </w:p>
        </w:tc>
      </w:tr>
    </w:tbl>
    <w:p>
      <w:pPr>
        <w:pStyle w:val="Normal"/>
        <w:spacing w:before="0" w:after="120"/>
        <w:rPr/>
      </w:pPr>
      <w:r>
        <w:rPr/>
      </w:r>
    </w:p>
    <w:p>
      <w:pPr>
        <w:pStyle w:val="Normal"/>
        <w:keepNext w:val="true"/>
        <w:spacing w:before="140" w:after="40"/>
        <w:jc w:val="center"/>
        <w:rPr/>
      </w:pPr>
      <w:r>
        <w:rPr/>
        <w:drawing>
          <wp:inline distT="0" distB="0" distL="0" distR="0">
            <wp:extent cx="5810250" cy="1400175"/>
            <wp:effectExtent l="0" t="0" r="0" b="0"/>
            <wp:docPr id="7" name="fig7" descr="Figure 7&#10;Capture d'écran — S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Figure 7&#10;Capture d'écran — Section 1.1"/>
                    <pic:cNvPicPr>
                      <a:picLocks noChangeAspect="1" noChangeArrowheads="1"/>
                    </pic:cNvPicPr>
                  </pic:nvPicPr>
                  <pic:blipFill>
                    <a:blip r:embed="rId8"/>
                    <a:stretch>
                      <a:fillRect/>
                    </a:stretch>
                  </pic:blipFill>
                  <pic:spPr bwMode="auto">
                    <a:xfrm>
                      <a:off x="0" y="0"/>
                      <a:ext cx="5810250" cy="14001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7 — Section 1.1</w:t>
      </w:r>
    </w:p>
    <w:p>
      <w:pPr>
        <w:pStyle w:val="Heading2"/>
        <w:rPr/>
      </w:pPr>
      <w:bookmarkStart w:id="2" w:name="__RefHeading___Toc1556_1376105353"/>
      <w:bookmarkEnd w:id="2"/>
      <w:r>
        <w:rPr/>
        <w:t>1.2 Jeton (token), catalogue et endpoints</w:t>
      </w:r>
    </w:p>
    <w:p>
      <w:pPr>
        <w:pStyle w:val="Heading3"/>
        <w:rPr/>
      </w:pPr>
      <w:bookmarkStart w:id="3" w:name="__RefHeading___Toc1558_1376105353"/>
      <w:bookmarkEnd w:id="3"/>
      <w:r>
        <w:rPr/>
        <w:t>1.2.1 Jeton (token)</w:t>
      </w:r>
    </w:p>
    <w:p>
      <w:pPr>
        <w:pStyle w:val="Normal"/>
        <w:keepLines/>
        <w:spacing w:lineRule="auto" w:line="276" w:before="0" w:after="100"/>
        <w:rPr/>
      </w:pPr>
      <w:r>
        <w:rPr/>
        <w:t>Lancez la commande ci-dessous :</w:t>
      </w:r>
    </w:p>
    <w:p>
      <w:pPr>
        <w:pStyle w:val="Normal"/>
        <w:keepNext w:val="false"/>
        <w:keepLines/>
        <w:pBdr>
          <w:top w:val="single" w:sz="6" w:space="4" w:color="F3F5F8"/>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token issue</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Q1  </w:t>
      </w:r>
      <w:r>
        <w:rPr>
          <w:b w:val="false"/>
          <w:bCs w:val="false"/>
          <w:color w:val="0B2545"/>
        </w:rPr>
        <w:t>Quelle est la durée de validité du jeton ? À quel projet est-il lié (scope)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b/>
          <w:bCs/>
        </w:rPr>
        <w:t>Durée de validité :</w:t>
      </w:r>
      <w:r>
        <w:rPr/>
        <w:t xml:space="preserve"> 1 heure par défaut.</w:t>
      </w:r>
    </w:p>
    <w:p>
      <w:pPr>
        <w:pStyle w:val="Normal"/>
        <w:keepLines/>
        <w:spacing w:lineRule="auto" w:line="276" w:before="0" w:after="100"/>
        <w:rPr/>
      </w:pPr>
      <w:r>
        <w:rPr>
          <w:b/>
          <w:bCs/>
        </w:rPr>
        <w:t>Scope :</w:t>
      </w:r>
      <w:r>
        <w:rPr/>
        <w:t xml:space="preserve"> le jeton est lié à </w:t>
      </w:r>
      <w:r>
        <w:rPr>
          <w:b/>
          <w:bCs/>
        </w:rPr>
        <w:t>un seul projet</w:t>
      </w:r>
      <w:r>
        <w:rPr/>
        <w:t>, celui indiqué lors de l’authentification, par exemple avec :</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source openrc admin admin</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token issue</w:t>
      </w:r>
    </w:p>
    <w:p>
      <w:pPr>
        <w:pStyle w:val="Normal"/>
        <w:keepLines/>
        <w:spacing w:lineRule="auto" w:line="276" w:before="0" w:after="100"/>
        <w:rPr/>
      </w:pPr>
      <w:r>
        <w:rPr/>
        <w:t>La commande affiche notamment :</w:t>
      </w:r>
    </w:p>
    <w:p>
      <w:pPr>
        <w:pStyle w:val="ListParagraph"/>
        <w:keepLines/>
        <w:numPr>
          <w:ilvl w:val="0"/>
          <w:numId w:val="5"/>
        </w:numPr>
        <w:spacing w:lineRule="auto" w:line="271" w:before="0" w:after="60"/>
        <w:rPr/>
      </w:pPr>
      <w:r>
        <w:rPr>
          <w:rFonts w:eastAsia="Courier New" w:cs="Courier New" w:ascii="Courier New" w:hAnsi="Courier New"/>
          <w:color w:val="B42318"/>
          <w:sz w:val="19"/>
          <w:szCs w:val="19"/>
          <w:shd w:fill="F3F5F8" w:val="clear"/>
        </w:rPr>
        <w:t>expires</w:t>
      </w:r>
      <w:r>
        <w:rPr/>
        <w:t xml:space="preserve"> → date/heure d’expiration</w:t>
      </w:r>
    </w:p>
    <w:p>
      <w:pPr>
        <w:pStyle w:val="ListParagraph"/>
        <w:keepLines/>
        <w:numPr>
          <w:ilvl w:val="0"/>
          <w:numId w:val="1"/>
        </w:numPr>
        <w:spacing w:lineRule="auto" w:line="271" w:before="0" w:after="60"/>
        <w:rPr/>
      </w:pPr>
      <w:r>
        <w:rPr>
          <w:rFonts w:eastAsia="Courier New" w:cs="Courier New" w:ascii="Courier New" w:hAnsi="Courier New"/>
          <w:color w:val="B42318"/>
          <w:sz w:val="19"/>
          <w:szCs w:val="19"/>
          <w:shd w:fill="F3F5F8" w:val="clear"/>
        </w:rPr>
        <w:t>project_id</w:t>
      </w:r>
      <w:r>
        <w:rPr/>
        <w:t xml:space="preserve"> → projet auquel le jeton est lié</w:t>
      </w:r>
    </w:p>
    <w:p>
      <w:pPr>
        <w:pStyle w:val="ListParagraph"/>
        <w:keepLines/>
        <w:numPr>
          <w:ilvl w:val="0"/>
          <w:numId w:val="1"/>
        </w:numPr>
        <w:spacing w:lineRule="auto" w:line="271" w:before="0" w:after="60"/>
        <w:rPr/>
      </w:pPr>
      <w:r>
        <w:rPr>
          <w:rFonts w:eastAsia="Courier New" w:cs="Courier New" w:ascii="Courier New" w:hAnsi="Courier New"/>
          <w:color w:val="B42318"/>
          <w:sz w:val="19"/>
          <w:szCs w:val="19"/>
          <w:shd w:fill="F3F5F8" w:val="clear"/>
        </w:rPr>
        <w:t>user_id</w:t>
      </w:r>
      <w:r>
        <w:rPr/>
        <w:t xml:space="preserve"> → utilisateur authentifié.</w:t>
      </w:r>
    </w:p>
    <w:tbl>
      <w:tblPr>
        <w:tblW w:w="9638" w:type="dxa"/>
        <w:jc w:val="left"/>
        <w:tblInd w:w="0" w:type="dxa"/>
        <w:tblLayout w:type="fixed"/>
        <w:tblCellMar>
          <w:top w:w="110" w:type="dxa"/>
          <w:left w:w="200" w:type="dxa"/>
          <w:bottom w:w="90" w:type="dxa"/>
          <w:right w:w="160" w:type="dxa"/>
        </w:tblCellMar>
      </w:tblPr>
      <w:tblGrid>
        <w:gridCol w:w="9638"/>
      </w:tblGrid>
      <w:tr>
        <w:trPr>
          <w:cantSplit w:val="true"/>
        </w:trPr>
        <w:tc>
          <w:tcPr>
            <w:tcW w:w="9638" w:type="dxa"/>
            <w:tcBorders>
              <w:left w:val="single" w:sz="24" w:space="0" w:color="B45309"/>
            </w:tcBorders>
            <w:shd w:color="auto" w:fill="FEF6E7" w:val="clear"/>
          </w:tcPr>
          <w:p>
            <w:pPr>
              <w:pStyle w:val="Normal"/>
              <w:keepNext w:val="true"/>
              <w:spacing w:before="0" w:after="60"/>
              <w:rPr/>
            </w:pPr>
            <w:r>
              <w:rPr>
                <w:b/>
                <w:bCs/>
                <w:color w:val="B45309"/>
                <w:sz w:val="21"/>
                <w:szCs w:val="21"/>
              </w:rPr>
              <w:t>Point important à retenir</w:t>
            </w:r>
          </w:p>
          <w:p>
            <w:pPr>
              <w:pStyle w:val="Normal"/>
              <w:keepLines/>
              <w:spacing w:lineRule="auto" w:line="276" w:before="0" w:after="60"/>
              <w:rPr/>
            </w:pPr>
            <w:r>
              <w:rPr>
                <w:sz w:val="20"/>
                <w:szCs w:val="20"/>
              </w:rPr>
              <w:t>source openrc ne charge pas le jeton. Il charge les identifiants dans les variables OS_*. La CLI utilise ensuite ces identifiants pour demander un nouveau jeton à Keystone lors des commandes OpenStack.</w:t>
            </w:r>
          </w:p>
        </w:tc>
      </w:tr>
    </w:tbl>
    <w:p>
      <w:pPr>
        <w:pStyle w:val="Normal"/>
        <w:spacing w:before="0" w:after="120"/>
        <w:rPr/>
      </w:pPr>
      <w:r>
        <w:rPr/>
      </w:r>
    </w:p>
    <w:p>
      <w:pPr>
        <w:pStyle w:val="Normal"/>
        <w:keepNext w:val="true"/>
        <w:spacing w:before="140" w:after="40"/>
        <w:jc w:val="center"/>
        <w:rPr/>
      </w:pPr>
      <w:r>
        <w:rPr/>
        <w:drawing>
          <wp:inline distT="0" distB="0" distL="0" distR="0">
            <wp:extent cx="5810250" cy="1914525"/>
            <wp:effectExtent l="0" t="0" r="0" b="0"/>
            <wp:docPr id="8" name="fig8" descr="Figure 8&#10;Capture d'écran — Sectio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Figure 8&#10;Capture d'écran — Section 1.2.1"/>
                    <pic:cNvPicPr>
                      <a:picLocks noChangeAspect="1" noChangeArrowheads="1"/>
                    </pic:cNvPicPr>
                  </pic:nvPicPr>
                  <pic:blipFill>
                    <a:blip r:embed="rId9"/>
                    <a:stretch>
                      <a:fillRect/>
                    </a:stretch>
                  </pic:blipFill>
                  <pic:spPr bwMode="auto">
                    <a:xfrm>
                      <a:off x="0" y="0"/>
                      <a:ext cx="5810250" cy="19145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8 — Section 1.2.1</w:t>
      </w:r>
    </w:p>
    <w:tbl>
      <w:tblPr>
        <w:tblW w:w="9638" w:type="dxa"/>
        <w:jc w:val="left"/>
        <w:tblInd w:w="0" w:type="dxa"/>
        <w:tblLayout w:type="fixed"/>
        <w:tblCellMar>
          <w:top w:w="110" w:type="dxa"/>
          <w:left w:w="200" w:type="dxa"/>
          <w:bottom w:w="90" w:type="dxa"/>
          <w:right w:w="160" w:type="dxa"/>
        </w:tblCellMar>
      </w:tblPr>
      <w:tblGrid>
        <w:gridCol w:w="9638"/>
      </w:tblGrid>
      <w:tr>
        <w:trPr>
          <w:cantSplit w:val="true"/>
        </w:trPr>
        <w:tc>
          <w:tcPr>
            <w:tcW w:w="9638" w:type="dxa"/>
            <w:tcBorders>
              <w:left w:val="single" w:sz="24" w:space="0" w:color="0B7A70"/>
            </w:tcBorders>
            <w:shd w:color="auto" w:fill="E8F6F4" w:val="clear"/>
          </w:tcPr>
          <w:p>
            <w:pPr>
              <w:pStyle w:val="Normal"/>
              <w:keepNext w:val="true"/>
              <w:spacing w:before="0" w:after="60"/>
              <w:rPr/>
            </w:pPr>
            <w:r>
              <w:rPr>
                <w:b/>
                <w:bCs/>
                <w:color w:val="0B7A70"/>
                <w:sz w:val="21"/>
                <w:szCs w:val="21"/>
              </w:rPr>
              <w:t>À retenir</w:t>
            </w:r>
          </w:p>
          <w:p>
            <w:pPr>
              <w:pStyle w:val="Normal"/>
              <w:keepLines/>
              <w:spacing w:lineRule="auto" w:line="276" w:before="0" w:after="60"/>
              <w:rPr/>
            </w:pPr>
            <w:r>
              <w:rPr>
                <w:sz w:val="20"/>
                <w:szCs w:val="20"/>
              </w:rPr>
              <w:t xml:space="preserve">Toute requête vers un service OpenStack passe d’abord par Keystone pour obtenir un jeton. Le jeton est ensuite envoyé dans l’en-tête HTTP </w:t>
            </w:r>
            <w:r>
              <w:rPr>
                <w:rFonts w:eastAsia="Courier New" w:cs="Courier New" w:ascii="Courier New" w:hAnsi="Courier New"/>
                <w:color w:val="B42318"/>
                <w:sz w:val="18"/>
                <w:szCs w:val="18"/>
                <w:shd w:fill="F3F5F8" w:val="clear"/>
              </w:rPr>
              <w:t>X-Auth-Token</w:t>
            </w:r>
          </w:p>
        </w:tc>
      </w:tr>
    </w:tbl>
    <w:p>
      <w:pPr>
        <w:pStyle w:val="Normal"/>
        <w:spacing w:before="0" w:after="120"/>
        <w:rPr/>
      </w:pPr>
      <w:r>
        <w:rPr/>
      </w:r>
    </w:p>
    <w:p>
      <w:pPr>
        <w:pStyle w:val="Heading3"/>
        <w:rPr/>
      </w:pPr>
      <w:bookmarkStart w:id="4" w:name="__RefHeading___Toc1560_1376105353"/>
      <w:bookmarkEnd w:id="4"/>
      <w:r>
        <w:rPr/>
        <w:t>1.2.2 Catalogue</w:t>
      </w:r>
    </w:p>
    <w:p>
      <w:pPr>
        <w:pStyle w:val="Normal"/>
        <w:keepLines/>
        <w:spacing w:lineRule="auto" w:line="276" w:before="0" w:after="100"/>
        <w:rPr/>
      </w:pPr>
      <w:r>
        <w:rPr/>
        <w:t>Lancez la commande ci-dessous :</w:t>
      </w:r>
    </w:p>
    <w:p>
      <w:pPr>
        <w:pStyle w:val="Normal"/>
        <w:keepNext w:val="false"/>
        <w:keepLines/>
        <w:pBdr>
          <w:top w:val="single" w:sz="6" w:space="4" w:color="F3F5F8"/>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catalog list</w:t>
      </w:r>
    </w:p>
    <w:p>
      <w:pPr>
        <w:pStyle w:val="Normal"/>
        <w:keepNext w:val="true"/>
        <w:spacing w:before="140" w:after="40"/>
        <w:jc w:val="center"/>
        <w:rPr/>
      </w:pPr>
      <w:r>
        <w:rPr/>
        <w:drawing>
          <wp:inline distT="0" distB="0" distL="0" distR="0">
            <wp:extent cx="5810250" cy="4210050"/>
            <wp:effectExtent l="0" t="0" r="0" b="0"/>
            <wp:docPr id="9" name="fig9" descr="Figure 9&#10;Capture d'écran — Sectio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Figure 9&#10;Capture d'écran — Section 1.2.2"/>
                    <pic:cNvPicPr>
                      <a:picLocks noChangeAspect="1" noChangeArrowheads="1"/>
                    </pic:cNvPicPr>
                  </pic:nvPicPr>
                  <pic:blipFill>
                    <a:blip r:embed="rId10"/>
                    <a:stretch>
                      <a:fillRect/>
                    </a:stretch>
                  </pic:blipFill>
                  <pic:spPr bwMode="auto">
                    <a:xfrm>
                      <a:off x="0" y="0"/>
                      <a:ext cx="5810250" cy="42100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9 — Section 1.2.2</w:t>
      </w:r>
    </w:p>
    <w:p>
      <w:pPr>
        <w:pStyle w:val="Heading3"/>
        <w:rPr/>
      </w:pPr>
      <w:bookmarkStart w:id="5" w:name="__RefHeading___Toc1562_1376105353"/>
      <w:bookmarkEnd w:id="5"/>
      <w:r>
        <w:rPr/>
        <w:t>1.2.3 Endpoints</w:t>
      </w:r>
    </w:p>
    <w:p>
      <w:pPr>
        <w:pStyle w:val="Normal"/>
        <w:keepLines/>
        <w:spacing w:lineRule="auto" w:line="276" w:before="0" w:after="100"/>
        <w:rPr/>
      </w:pPr>
      <w:r>
        <w:rPr/>
        <w:t>Lancez la commande ci-dessous :</w:t>
      </w:r>
    </w:p>
    <w:p>
      <w:pPr>
        <w:pStyle w:val="Normal"/>
        <w:keepNext w:val="false"/>
        <w:keepLines/>
        <w:pBdr>
          <w:top w:val="single" w:sz="6" w:space="4" w:color="F3F5F8"/>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endpoint list --interface public</w:t>
      </w:r>
    </w:p>
    <w:p>
      <w:pPr>
        <w:pStyle w:val="Normal"/>
        <w:keepNext w:val="true"/>
        <w:spacing w:before="140" w:after="40"/>
        <w:jc w:val="center"/>
        <w:rPr/>
      </w:pPr>
      <w:r>
        <w:rPr/>
        <w:drawing>
          <wp:inline distT="0" distB="0" distL="0" distR="0">
            <wp:extent cx="5810250" cy="4895850"/>
            <wp:effectExtent l="0" t="0" r="0" b="0"/>
            <wp:docPr id="10" name="fig10" descr="Figure 10&#10;Capture d'écran — Sectio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Figure 10&#10;Capture d'écran — Section 1.2.3"/>
                    <pic:cNvPicPr>
                      <a:picLocks noChangeAspect="1" noChangeArrowheads="1"/>
                    </pic:cNvPicPr>
                  </pic:nvPicPr>
                  <pic:blipFill>
                    <a:blip r:embed="rId11"/>
                    <a:stretch>
                      <a:fillRect/>
                    </a:stretch>
                  </pic:blipFill>
                  <pic:spPr bwMode="auto">
                    <a:xfrm>
                      <a:off x="0" y="0"/>
                      <a:ext cx="5810250" cy="48958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10 — Section 1.2.3</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Q2  </w:t>
      </w:r>
      <w:r>
        <w:rPr>
          <w:b w:val="false"/>
          <w:bCs w:val="false"/>
          <w:color w:val="0B2545"/>
        </w:rPr>
        <w:t xml:space="preserve">Comparez les sorties de </w:t>
      </w:r>
      <w:r>
        <w:rPr>
          <w:rFonts w:eastAsia="Courier New" w:cs="Courier New" w:ascii="Courier New" w:hAnsi="Courier New"/>
          <w:b w:val="false"/>
          <w:bCs w:val="false"/>
          <w:color w:val="B42318"/>
          <w:sz w:val="19"/>
          <w:szCs w:val="19"/>
          <w:shd w:fill="F3F5F8" w:val="clear"/>
        </w:rPr>
        <w:t>openstack catalog list</w:t>
      </w:r>
      <w:r>
        <w:rPr>
          <w:b w:val="false"/>
          <w:bCs w:val="false"/>
          <w:color w:val="0B2545"/>
        </w:rPr>
        <w:t xml:space="preserve"> et de </w:t>
      </w:r>
      <w:r>
        <w:rPr>
          <w:rFonts w:eastAsia="Courier New" w:cs="Courier New" w:ascii="Courier New" w:hAnsi="Courier New"/>
          <w:b w:val="false"/>
          <w:bCs w:val="false"/>
          <w:color w:val="B42318"/>
          <w:sz w:val="19"/>
          <w:szCs w:val="19"/>
          <w:shd w:fill="F3F5F8" w:val="clear"/>
        </w:rPr>
        <w:t>openstack endpoint list --interface public</w:t>
      </w:r>
      <w:r>
        <w:rPr>
          <w:b w:val="false"/>
          <w:bCs w:val="false"/>
          <w:color w:val="0B2545"/>
        </w:rPr>
        <w:t xml:space="preserve"> :</w:t>
      </w:r>
    </w:p>
    <w:p>
      <w:pPr>
        <w:pStyle w:val="Normal"/>
        <w:keepNext w:val="true"/>
        <w:keepLines/>
        <w:tabs>
          <w:tab w:val="clear" w:pos="720"/>
          <w:tab w:val="left" w:pos="520" w:leader="none"/>
        </w:tabs>
        <w:spacing w:lineRule="auto" w:line="271" w:before="160" w:after="60"/>
        <w:ind w:hanging="340" w:left="520"/>
        <w:rPr/>
      </w:pPr>
      <w:r>
        <w:rPr>
          <w:b/>
          <w:bCs/>
          <w:color w:val="0B7A70"/>
        </w:rPr>
        <w:t>a)</w:t>
        <w:tab/>
      </w:r>
      <w:r>
        <w:rPr>
          <w:b/>
          <w:bCs/>
          <w:color w:val="374151"/>
        </w:rPr>
        <w:t xml:space="preserve">Les URL sont-elles les mêmes dans les deux sorties ? Relevez le cas du service </w:t>
      </w:r>
      <w:r>
        <w:rPr>
          <w:rFonts w:eastAsia="Courier New" w:cs="Courier New" w:ascii="Courier New" w:hAnsi="Courier New"/>
          <w:b/>
          <w:bCs/>
          <w:color w:val="B42318"/>
          <w:sz w:val="19"/>
          <w:szCs w:val="19"/>
          <w:shd w:fill="F3F5F8" w:val="clear"/>
        </w:rPr>
        <w:t>nova_legacy</w:t>
      </w:r>
      <w:r>
        <w:rPr>
          <w:b/>
          <w:bCs/>
          <w:color w:val="374151"/>
        </w:rPr>
        <w:t xml:space="preserve"> : quelle différence observez-vous entre les deux commandes, et comment l’expliquez-vous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b/>
          <w:bCs/>
        </w:rPr>
        <w:t>Oui, en général</w:t>
      </w:r>
      <w:r>
        <w:rPr/>
        <w:t xml:space="preserve">, </w:t>
      </w:r>
      <w:r>
        <w:rPr>
          <w:rFonts w:eastAsia="Courier New" w:cs="Courier New" w:ascii="Courier New" w:hAnsi="Courier New"/>
          <w:color w:val="B42318"/>
          <w:sz w:val="19"/>
          <w:szCs w:val="19"/>
          <w:shd w:fill="F3F5F8" w:val="clear"/>
        </w:rPr>
        <w:t>openstack catalog list</w:t>
      </w:r>
      <w:r>
        <w:rPr/>
        <w:t xml:space="preserve"> et </w:t>
      </w:r>
      <w:r>
        <w:rPr>
          <w:rFonts w:eastAsia="Courier New" w:cs="Courier New" w:ascii="Courier New" w:hAnsi="Courier New"/>
          <w:color w:val="B42318"/>
          <w:sz w:val="19"/>
          <w:szCs w:val="19"/>
          <w:shd w:fill="F3F5F8" w:val="clear"/>
        </w:rPr>
        <w:t>openstack endpoint list --interface public</w:t>
      </w:r>
      <w:r>
        <w:rPr/>
        <w:t xml:space="preserve"> donnent les mêmes URL pour les endpoints </w:t>
      </w:r>
      <w:r>
        <w:rPr>
          <w:b/>
          <w:bCs/>
        </w:rPr>
        <w:t>public</w:t>
      </w:r>
      <w:r>
        <w:rPr/>
        <w:t>.</w:t>
      </w:r>
    </w:p>
    <w:p>
      <w:pPr>
        <w:pStyle w:val="Normal"/>
        <w:keepLines/>
        <w:spacing w:lineRule="auto" w:line="276" w:before="0" w:after="100"/>
        <w:rPr/>
      </w:pPr>
      <w:r>
        <w:rPr/>
        <w:t xml:space="preserve">La différence intéressante concerne </w:t>
      </w:r>
      <w:r>
        <w:rPr>
          <w:rFonts w:eastAsia="Courier New" w:cs="Courier New" w:ascii="Courier New" w:hAnsi="Courier New"/>
          <w:b/>
          <w:bCs/>
          <w:color w:val="B42318"/>
          <w:sz w:val="19"/>
          <w:szCs w:val="19"/>
          <w:shd w:fill="F3F5F8" w:val="clear"/>
        </w:rPr>
        <w:t>nova_legacy</w:t>
      </w:r>
      <w:r>
        <w:rPr/>
        <w:t xml:space="preserve"> :</w:t>
      </w:r>
    </w:p>
    <w:p>
      <w:pPr>
        <w:pStyle w:val="ListParagraph"/>
        <w:keepLines/>
        <w:numPr>
          <w:ilvl w:val="0"/>
          <w:numId w:val="1"/>
        </w:numPr>
        <w:spacing w:lineRule="auto" w:line="271" w:before="0" w:after="60"/>
        <w:rPr/>
      </w:pPr>
      <w:r>
        <w:rPr/>
        <w:t xml:space="preserve">Dans </w:t>
      </w:r>
      <w:r>
        <w:rPr>
          <w:rFonts w:eastAsia="Courier New" w:cs="Courier New" w:ascii="Courier New" w:hAnsi="Courier New"/>
          <w:color w:val="B42318"/>
          <w:sz w:val="19"/>
          <w:szCs w:val="19"/>
          <w:shd w:fill="F3F5F8" w:val="clear"/>
        </w:rPr>
        <w:t>catalog list</w:t>
      </w:r>
      <w:r>
        <w:rPr/>
        <w:t xml:space="preserve">, l’URL de </w:t>
      </w:r>
      <w:r>
        <w:rPr>
          <w:rFonts w:eastAsia="Courier New" w:cs="Courier New" w:ascii="Courier New" w:hAnsi="Courier New"/>
          <w:color w:val="B42318"/>
          <w:sz w:val="19"/>
          <w:szCs w:val="19"/>
          <w:shd w:fill="F3F5F8" w:val="clear"/>
        </w:rPr>
        <w:t>nova_legacy</w:t>
      </w:r>
      <w:r>
        <w:rPr/>
        <w:t xml:space="preserve"> peut apparaître </w:t>
      </w:r>
      <w:r>
        <w:rPr>
          <w:b/>
          <w:bCs/>
        </w:rPr>
        <w:t>avec le projet dans l’URL</w:t>
      </w:r>
      <w:r>
        <w:rPr/>
        <w:t>.</w:t>
      </w:r>
    </w:p>
    <w:p>
      <w:pPr>
        <w:pStyle w:val="ListParagraph"/>
        <w:keepLines/>
        <w:numPr>
          <w:ilvl w:val="0"/>
          <w:numId w:val="1"/>
        </w:numPr>
        <w:spacing w:lineRule="auto" w:line="271" w:before="0" w:after="60"/>
        <w:rPr/>
      </w:pPr>
      <w:r>
        <w:rPr/>
        <w:t xml:space="preserve">Dans </w:t>
      </w:r>
      <w:r>
        <w:rPr>
          <w:rFonts w:eastAsia="Courier New" w:cs="Courier New" w:ascii="Courier New" w:hAnsi="Courier New"/>
          <w:color w:val="B42318"/>
          <w:sz w:val="19"/>
          <w:szCs w:val="19"/>
          <w:shd w:fill="F3F5F8" w:val="clear"/>
        </w:rPr>
        <w:t>endpoint list --interface public</w:t>
      </w:r>
      <w:r>
        <w:rPr/>
        <w:t xml:space="preserve">, l’URL affichée correspond à </w:t>
      </w:r>
      <w:r>
        <w:rPr>
          <w:b/>
          <w:bCs/>
        </w:rPr>
        <w:t>l’endpoint enregistré dans Keystone</w:t>
      </w:r>
      <w:r>
        <w:rPr/>
        <w:t>, sans cette adaptation liée au projet.</w:t>
      </w:r>
    </w:p>
    <w:p>
      <w:pPr>
        <w:pStyle w:val="Normal"/>
        <w:keepNext w:val="true"/>
        <w:keepLines/>
        <w:tabs>
          <w:tab w:val="clear" w:pos="720"/>
          <w:tab w:val="left" w:pos="520" w:leader="none"/>
        </w:tabs>
        <w:spacing w:lineRule="auto" w:line="271" w:before="160" w:after="60"/>
        <w:ind w:hanging="340" w:left="520"/>
        <w:rPr/>
      </w:pPr>
      <w:r>
        <w:rPr>
          <w:b/>
          <w:bCs/>
          <w:color w:val="0B7A70"/>
        </w:rPr>
        <w:t>b)</w:t>
        <w:tab/>
      </w:r>
      <w:r>
        <w:rPr>
          <w:b/>
          <w:bCs/>
          <w:color w:val="374151"/>
        </w:rPr>
        <w:t>Tous les services utilisent la même adresse IP. Comment le serveur sait-il à quel service transmettre une requête ?</w:t>
      </w:r>
    </w:p>
    <w:p>
      <w:pPr>
        <w:pStyle w:val="Normal"/>
        <w:keepNext w:val="true"/>
        <w:spacing w:before="80" w:after="40"/>
        <w:rPr/>
      </w:pPr>
      <w:r>
        <w:rPr>
          <w:rFonts w:eastAsia="Calibri" w:cs="Calibri"/>
          <w:b/>
          <w:bCs/>
          <w:color w:val="0B7A70"/>
          <w:spacing w:val="30"/>
          <w:sz w:val="16"/>
          <w:szCs w:val="16"/>
        </w:rPr>
        <w:t>RÉPONSE</w:t>
      </w:r>
    </w:p>
    <w:p>
      <w:pPr>
        <w:pStyle w:val="ListParagraph"/>
        <w:keepLines/>
        <w:numPr>
          <w:ilvl w:val="0"/>
          <w:numId w:val="1"/>
        </w:numPr>
        <w:spacing w:lineRule="auto" w:line="271" w:before="0" w:after="60"/>
        <w:rPr/>
      </w:pPr>
      <w:r>
        <w:rPr/>
        <w:t>Ce n’est pas l’adresse IP seule qui identifie le service.</w:t>
      </w:r>
    </w:p>
    <w:p>
      <w:pPr>
        <w:pStyle w:val="ListParagraph"/>
        <w:keepLines/>
        <w:numPr>
          <w:ilvl w:val="0"/>
          <w:numId w:val="1"/>
        </w:numPr>
        <w:spacing w:lineRule="auto" w:line="271" w:before="0" w:after="60"/>
        <w:rPr/>
      </w:pPr>
      <w:r>
        <w:rPr/>
        <w:t>Le serveur utilise principalement le port et le chemin de l’URL pour savoir quel service doit traiter la requête.</w:t>
      </w:r>
    </w:p>
    <w:p>
      <w:pPr>
        <w:pStyle w:val="Normal"/>
        <w:keepLines/>
        <w:spacing w:lineRule="auto" w:line="276" w:before="0" w:after="100"/>
        <w:rPr/>
      </w:pPr>
      <w:r>
        <w:rPr/>
        <w:t>Par exemple :</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http://&lt;IP&gt;/identity/...   → Keystone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http://&lt;IP&gt;/compute/...    → Nova</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http://&lt;IP&gt;/image/...      → Glance</w:t>
      </w:r>
    </w:p>
    <w:p>
      <w:pPr>
        <w:pStyle w:val="Normal"/>
        <w:keepLines/>
        <w:spacing w:lineRule="auto" w:line="276" w:before="0" w:after="100"/>
        <w:rPr/>
      </w:pPr>
      <w:r>
        <w:rPr/>
        <w:t>Le support montre justement que :</w:t>
      </w:r>
    </w:p>
    <w:p>
      <w:pPr>
        <w:pStyle w:val="ListParagraph"/>
        <w:keepLines/>
        <w:numPr>
          <w:ilvl w:val="0"/>
          <w:numId w:val="1"/>
        </w:numPr>
        <w:spacing w:lineRule="auto" w:line="271" w:before="0" w:after="60"/>
        <w:rPr/>
      </w:pPr>
      <w:r>
        <w:rPr>
          <w:rFonts w:eastAsia="Courier New" w:cs="Courier New" w:ascii="Courier New" w:hAnsi="Courier New"/>
          <w:color w:val="B42318"/>
          <w:sz w:val="19"/>
          <w:szCs w:val="19"/>
          <w:shd w:fill="F3F5F8" w:val="clear"/>
        </w:rPr>
        <w:t>/identity</w:t>
      </w:r>
      <w:r>
        <w:rPr/>
        <w:t xml:space="preserve"> → Keystone</w:t>
      </w:r>
    </w:p>
    <w:p>
      <w:pPr>
        <w:pStyle w:val="ListParagraph"/>
        <w:keepLines/>
        <w:numPr>
          <w:ilvl w:val="0"/>
          <w:numId w:val="1"/>
        </w:numPr>
        <w:spacing w:lineRule="auto" w:line="271" w:before="0" w:after="60"/>
        <w:rPr/>
      </w:pPr>
      <w:r>
        <w:rPr>
          <w:rFonts w:eastAsia="Courier New" w:cs="Courier New" w:ascii="Courier New" w:hAnsi="Courier New"/>
          <w:color w:val="B42318"/>
          <w:sz w:val="19"/>
          <w:szCs w:val="19"/>
          <w:shd w:fill="F3F5F8" w:val="clear"/>
        </w:rPr>
        <w:t>/compute</w:t>
      </w:r>
      <w:r>
        <w:rPr/>
        <w:t xml:space="preserve"> → Nova</w:t>
      </w:r>
    </w:p>
    <w:p>
      <w:pPr>
        <w:pStyle w:val="ListParagraph"/>
        <w:keepLines/>
        <w:numPr>
          <w:ilvl w:val="0"/>
          <w:numId w:val="1"/>
        </w:numPr>
        <w:spacing w:lineRule="auto" w:line="271" w:before="0" w:after="60"/>
        <w:rPr/>
      </w:pPr>
      <w:r>
        <w:rPr>
          <w:rFonts w:eastAsia="Courier New" w:cs="Courier New" w:ascii="Courier New" w:hAnsi="Courier New"/>
          <w:color w:val="B42318"/>
          <w:sz w:val="19"/>
          <w:szCs w:val="19"/>
          <w:shd w:fill="F3F5F8" w:val="clear"/>
        </w:rPr>
        <w:t>/image</w:t>
      </w:r>
      <w:r>
        <w:rPr/>
        <w:t xml:space="preserve"> → Glance</w:t>
      </w:r>
    </w:p>
    <w:p>
      <w:pPr>
        <w:pStyle w:val="Normal"/>
        <w:keepLines/>
        <w:spacing w:lineRule="auto" w:line="276" w:before="0" w:after="100"/>
        <w:rPr/>
      </w:pPr>
      <w:r>
        <w:rPr/>
        <w:t>Donc même si plusieurs services utilisent la même IP, le serveur distingue les requêtes grâce notamment au chemin de l’API.</w:t>
      </w:r>
    </w:p>
    <w:tbl>
      <w:tblPr>
        <w:tblW w:w="9638" w:type="dxa"/>
        <w:jc w:val="left"/>
        <w:tblInd w:w="0" w:type="dxa"/>
        <w:tblLayout w:type="fixed"/>
        <w:tblCellMar>
          <w:top w:w="110" w:type="dxa"/>
          <w:left w:w="200" w:type="dxa"/>
          <w:bottom w:w="90" w:type="dxa"/>
          <w:right w:w="160" w:type="dxa"/>
        </w:tblCellMar>
      </w:tblPr>
      <w:tblGrid>
        <w:gridCol w:w="9638"/>
      </w:tblGrid>
      <w:tr>
        <w:trPr>
          <w:cantSplit w:val="true"/>
        </w:trPr>
        <w:tc>
          <w:tcPr>
            <w:tcW w:w="9638" w:type="dxa"/>
            <w:tcBorders>
              <w:left w:val="single" w:sz="24" w:space="0" w:color="0B7A70"/>
            </w:tcBorders>
            <w:shd w:color="auto" w:fill="E8F6F4" w:val="clear"/>
          </w:tcPr>
          <w:p>
            <w:pPr>
              <w:pStyle w:val="Normal"/>
              <w:keepNext w:val="true"/>
              <w:spacing w:before="0" w:after="60"/>
              <w:rPr/>
            </w:pPr>
            <w:r>
              <w:rPr>
                <w:b/>
                <w:bCs/>
                <w:color w:val="0B7A70"/>
                <w:sz w:val="21"/>
                <w:szCs w:val="21"/>
              </w:rPr>
              <w:t>À retenir</w:t>
            </w:r>
          </w:p>
          <w:p>
            <w:pPr>
              <w:pStyle w:val="Normal"/>
              <w:keepLines/>
              <w:spacing w:lineRule="auto" w:line="276" w:before="0" w:after="60"/>
              <w:rPr/>
            </w:pPr>
            <w:r>
              <w:rPr>
                <w:sz w:val="20"/>
                <w:szCs w:val="20"/>
              </w:rPr>
              <w:t>Même IP ≠ même service. Le chemin de l’URL et/ou le port permettent de distinguer les services.</w:t>
            </w:r>
          </w:p>
        </w:tc>
      </w:tr>
    </w:tbl>
    <w:p>
      <w:pPr>
        <w:pStyle w:val="Normal"/>
        <w:spacing w:before="0" w:after="120"/>
        <w:rPr/>
      </w:pPr>
      <w:r>
        <w:rPr/>
      </w:r>
    </w:p>
    <w:p>
      <w:pPr>
        <w:pStyle w:val="Normal"/>
        <w:keepNext w:val="true"/>
        <w:keepLines/>
        <w:tabs>
          <w:tab w:val="clear" w:pos="720"/>
          <w:tab w:val="left" w:pos="520" w:leader="none"/>
        </w:tabs>
        <w:spacing w:lineRule="auto" w:line="271" w:before="160" w:after="60"/>
        <w:ind w:hanging="340" w:left="520"/>
        <w:rPr/>
      </w:pPr>
      <w:r>
        <w:rPr>
          <w:b/>
          <w:bCs/>
          <w:color w:val="0B7A70"/>
        </w:rPr>
        <w:t>c)</w:t>
        <w:tab/>
      </w:r>
      <w:r>
        <w:rPr>
          <w:b/>
          <w:bCs/>
          <w:color w:val="374151"/>
        </w:rPr>
        <w:t xml:space="preserve">Relancez </w:t>
      </w:r>
      <w:r>
        <w:rPr>
          <w:rFonts w:eastAsia="Courier New" w:cs="Courier New" w:ascii="Courier New" w:hAnsi="Courier New"/>
          <w:b/>
          <w:bCs/>
          <w:color w:val="B42318"/>
          <w:sz w:val="19"/>
          <w:szCs w:val="19"/>
          <w:shd w:fill="F3F5F8" w:val="clear"/>
        </w:rPr>
        <w:t>openstack endpoint list</w:t>
      </w:r>
      <w:r>
        <w:rPr>
          <w:b/>
          <w:bCs/>
          <w:color w:val="374151"/>
        </w:rPr>
        <w:t xml:space="preserve"> sans l’option </w:t>
      </w:r>
      <w:r>
        <w:rPr>
          <w:rFonts w:eastAsia="Courier New" w:cs="Courier New" w:ascii="Courier New" w:hAnsi="Courier New"/>
          <w:b/>
          <w:bCs/>
          <w:color w:val="B42318"/>
          <w:sz w:val="19"/>
          <w:szCs w:val="19"/>
          <w:shd w:fill="F3F5F8" w:val="clear"/>
        </w:rPr>
        <w:t>--interface public</w:t>
      </w:r>
      <w:r>
        <w:rPr>
          <w:b/>
          <w:bCs/>
          <w:color w:val="374151"/>
        </w:rPr>
        <w:t xml:space="preserve">. Le résultat change-t-il ? Quelles interfaces DevStack a-t-il déclarées ? Pourquoi un cloud de production déclarerait-il aussi une interface </w:t>
      </w:r>
      <w:r>
        <w:rPr>
          <w:rFonts w:eastAsia="Courier New" w:cs="Courier New" w:ascii="Courier New" w:hAnsi="Courier New"/>
          <w:b/>
          <w:bCs/>
          <w:color w:val="B42318"/>
          <w:sz w:val="19"/>
          <w:szCs w:val="19"/>
          <w:shd w:fill="F3F5F8" w:val="clear"/>
        </w:rPr>
        <w:t>internal</w:t>
      </w:r>
      <w:r>
        <w:rPr>
          <w:b/>
          <w:bCs/>
          <w:color w:val="374151"/>
        </w:rPr>
        <w:t xml:space="preserve">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b/>
          <w:bCs/>
        </w:rPr>
        <w:t>Dans Keystone, un même service peut être enregistré avec plusieurs adresses, une par interface, c’est-à-dire selon qui l’appelle et depuis quel réseau</w:t>
      </w:r>
    </w:p>
    <w:p>
      <w:pPr>
        <w:pStyle w:val="Normal"/>
        <w:keepLines/>
        <w:spacing w:lineRule="auto" w:line="276" w:before="0" w:after="100"/>
        <w:rPr/>
      </w:pPr>
      <w:r>
        <w:rPr/>
        <w:t>On lance :</w:t>
      </w:r>
    </w:p>
    <w:p>
      <w:pPr>
        <w:pStyle w:val="Normal"/>
        <w:keepNext w:val="false"/>
        <w:keepLines/>
        <w:pBdr>
          <w:top w:val="single" w:sz="6" w:space="4" w:color="F3F5F8"/>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endpoint list</w:t>
      </w:r>
    </w:p>
    <w:p>
      <w:pPr>
        <w:pStyle w:val="Normal"/>
        <w:keepLines/>
        <w:spacing w:lineRule="auto" w:line="276" w:before="0" w:after="100"/>
        <w:rPr/>
      </w:pPr>
      <w:r>
        <w:rPr/>
        <w:t xml:space="preserve">Sans </w:t>
      </w:r>
      <w:r>
        <w:rPr>
          <w:rFonts w:eastAsia="Courier New" w:cs="Courier New" w:ascii="Courier New" w:hAnsi="Courier New"/>
          <w:color w:val="B42318"/>
          <w:sz w:val="19"/>
          <w:szCs w:val="19"/>
          <w:shd w:fill="F3F5F8" w:val="clear"/>
        </w:rPr>
        <w:t>--interface public</w:t>
      </w:r>
      <w:r>
        <w:rPr/>
        <w:t xml:space="preserve">, on obtient </w:t>
      </w:r>
      <w:r>
        <w:rPr>
          <w:b/>
          <w:bCs/>
        </w:rPr>
        <w:t>les endpoints de plusieurs interfaces</w:t>
      </w:r>
      <w:r>
        <w:rPr/>
        <w:t xml:space="preserve">, et pas uniquement les endpoints </w:t>
      </w:r>
      <w:r>
        <w:rPr>
          <w:rFonts w:eastAsia="Courier New" w:cs="Courier New" w:ascii="Courier New" w:hAnsi="Courier New"/>
          <w:color w:val="B42318"/>
          <w:sz w:val="19"/>
          <w:szCs w:val="19"/>
          <w:shd w:fill="F3F5F8" w:val="clear"/>
        </w:rPr>
        <w:t>public</w:t>
      </w:r>
      <w:r>
        <w:rPr/>
        <w:t>.</w:t>
      </w:r>
    </w:p>
    <w:p>
      <w:pPr>
        <w:pStyle w:val="Normal"/>
        <w:keepLines/>
        <w:spacing w:lineRule="auto" w:line="276" w:before="0" w:after="100"/>
        <w:rPr/>
      </w:pPr>
      <w:r>
        <w:rPr/>
        <w:t>Dans DevStack, les interfaces déclarées sont :</w:t>
      </w:r>
    </w:p>
    <w:tbl>
      <w:tblPr>
        <w:tblW w:w="9638" w:type="dxa"/>
        <w:jc w:val="left"/>
        <w:tblInd w:w="0" w:type="dxa"/>
        <w:tblLayout w:type="fixed"/>
        <w:tblCellMar>
          <w:top w:w="70" w:type="dxa"/>
          <w:left w:w="90" w:type="dxa"/>
          <w:bottom w:w="70" w:type="dxa"/>
          <w:right w:w="90" w:type="dxa"/>
        </w:tblCellMar>
      </w:tblPr>
      <w:tblGrid>
        <w:gridCol w:w="2399"/>
        <w:gridCol w:w="7238"/>
      </w:tblGrid>
      <w:tr>
        <w:trPr>
          <w:tblHeader w:val="true"/>
          <w:cantSplit w:val="true"/>
        </w:trPr>
        <w:tc>
          <w:tcPr>
            <w:tcW w:w="2399"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Interface</w:t>
            </w:r>
          </w:p>
        </w:tc>
        <w:tc>
          <w:tcPr>
            <w:tcW w:w="7238"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Utilisation</w:t>
            </w:r>
          </w:p>
        </w:tc>
      </w:tr>
      <w:tr>
        <w:trPr>
          <w:cantSplit w:val="true"/>
        </w:trPr>
        <w:tc>
          <w:tcPr>
            <w:tcW w:w="2399"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public</w:t>
            </w:r>
          </w:p>
        </w:tc>
        <w:tc>
          <w:tcPr>
            <w:tcW w:w="7238"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Utilisée par les utilisateurs / clients</w:t>
            </w:r>
          </w:p>
        </w:tc>
      </w:tr>
      <w:tr>
        <w:trPr>
          <w:cantSplit w:val="true"/>
        </w:trPr>
        <w:tc>
          <w:tcPr>
            <w:tcW w:w="2399"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internal</w:t>
            </w:r>
          </w:p>
        </w:tc>
        <w:tc>
          <w:tcPr>
            <w:tcW w:w="7238"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Utilisée pour les communications internes entre services</w:t>
            </w:r>
          </w:p>
        </w:tc>
      </w:tr>
      <w:tr>
        <w:trPr>
          <w:cantSplit w:val="true"/>
        </w:trPr>
        <w:tc>
          <w:tcPr>
            <w:tcW w:w="2399"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admin</w:t>
            </w:r>
          </w:p>
        </w:tc>
        <w:tc>
          <w:tcPr>
            <w:tcW w:w="7238"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Utilisée pour les opérations d'administration</w:t>
            </w:r>
          </w:p>
        </w:tc>
      </w:tr>
    </w:tbl>
    <w:p>
      <w:pPr>
        <w:pStyle w:val="Normal"/>
        <w:spacing w:before="0" w:after="140"/>
        <w:rPr/>
      </w:pPr>
      <w:r>
        <w:rPr/>
      </w:r>
    </w:p>
    <w:p>
      <w:pPr>
        <w:pStyle w:val="Normal"/>
        <w:keepNext w:val="true"/>
        <w:keepLines/>
        <w:tabs>
          <w:tab w:val="clear" w:pos="720"/>
          <w:tab w:val="left" w:pos="520" w:leader="none"/>
        </w:tabs>
        <w:spacing w:lineRule="auto" w:line="271" w:before="160" w:after="60"/>
        <w:ind w:hanging="340" w:left="520"/>
        <w:rPr/>
      </w:pPr>
      <w:r>
        <w:rPr>
          <w:b/>
          <w:bCs/>
          <w:color w:val="0B7A70"/>
        </w:rPr>
        <w:t>d)</w:t>
        <w:tab/>
      </w:r>
      <w:r>
        <w:rPr>
          <w:b/>
          <w:bCs/>
          <w:color w:val="374151"/>
        </w:rPr>
        <w:t xml:space="preserve">Changez d’identité en chargeant l’utilisateur </w:t>
      </w:r>
      <w:r>
        <w:rPr>
          <w:rFonts w:eastAsia="Courier New" w:cs="Courier New" w:ascii="Courier New" w:hAnsi="Courier New"/>
          <w:b/>
          <w:bCs/>
          <w:color w:val="B42318"/>
          <w:sz w:val="19"/>
          <w:szCs w:val="19"/>
          <w:shd w:fill="F3F5F8" w:val="clear"/>
        </w:rPr>
        <w:t>demo</w:t>
      </w:r>
      <w:r>
        <w:rPr>
          <w:b/>
          <w:bCs/>
          <w:color w:val="374151"/>
        </w:rPr>
        <w:t xml:space="preserve"> du projet </w:t>
      </w:r>
      <w:r>
        <w:rPr>
          <w:rFonts w:eastAsia="Courier New" w:cs="Courier New" w:ascii="Courier New" w:hAnsi="Courier New"/>
          <w:b/>
          <w:bCs/>
          <w:color w:val="B42318"/>
          <w:sz w:val="19"/>
          <w:szCs w:val="19"/>
          <w:shd w:fill="F3F5F8" w:val="clear"/>
        </w:rPr>
        <w:t>demo</w:t>
      </w:r>
      <w:r>
        <w:rPr>
          <w:b/>
          <w:bCs/>
          <w:color w:val="374151"/>
        </w:rPr>
        <w:t>, puis relancez les trois commandes :</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source ~/devstack/openrc demo demo</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token issue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catalog list</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endpoint list --interface public</w:t>
      </w:r>
    </w:p>
    <w:p>
      <w:pPr>
        <w:pStyle w:val="Normal"/>
        <w:keepLines/>
        <w:spacing w:lineRule="auto" w:line="276" w:before="0" w:after="100"/>
        <w:rPr/>
      </w:pPr>
      <w:r>
        <w:rPr/>
        <w:t xml:space="preserve">Comparez avec les résultats obtenus en tant qu’admin : qu’est-ce qui change dans le jeton ? Dans l’URL de </w:t>
      </w:r>
      <w:r>
        <w:rPr>
          <w:rFonts w:eastAsia="Courier New" w:cs="Courier New" w:ascii="Courier New" w:hAnsi="Courier New"/>
          <w:color w:val="B42318"/>
          <w:sz w:val="19"/>
          <w:szCs w:val="19"/>
          <w:shd w:fill="F3F5F8" w:val="clear"/>
        </w:rPr>
        <w:t>nova_legacy</w:t>
      </w:r>
      <w:r>
        <w:rPr/>
        <w:t xml:space="preserve"> ? Que se passe-t-il pour </w:t>
      </w:r>
      <w:r>
        <w:rPr>
          <w:rFonts w:eastAsia="Courier New" w:cs="Courier New" w:ascii="Courier New" w:hAnsi="Courier New"/>
          <w:color w:val="B42318"/>
          <w:sz w:val="19"/>
          <w:szCs w:val="19"/>
          <w:shd w:fill="F3F5F8" w:val="clear"/>
        </w:rPr>
        <w:t>endpoint list</w:t>
      </w:r>
      <w:r>
        <w:rPr/>
        <w:t xml:space="preserve">, et pourquoi ? Revenez ensuite à l’identité admin : </w:t>
      </w:r>
      <w:r>
        <w:rPr>
          <w:rFonts w:eastAsia="Courier New" w:cs="Courier New" w:ascii="Courier New" w:hAnsi="Courier New"/>
          <w:color w:val="B42318"/>
          <w:sz w:val="19"/>
          <w:szCs w:val="19"/>
          <w:shd w:fill="F3F5F8" w:val="clear"/>
        </w:rPr>
        <w:t>source ~/devstack/openrc admin admin</w:t>
      </w:r>
      <w:r>
        <w:rPr/>
        <w:t>.</w:t>
      </w:r>
    </w:p>
    <w:p>
      <w:pPr>
        <w:pStyle w:val="Normal"/>
        <w:keepNext w:val="true"/>
        <w:spacing w:before="140" w:after="40"/>
        <w:jc w:val="center"/>
        <w:rPr/>
      </w:pPr>
      <w:r>
        <w:rPr/>
        <w:drawing>
          <wp:inline distT="0" distB="0" distL="0" distR="0">
            <wp:extent cx="5810250" cy="3552825"/>
            <wp:effectExtent l="0" t="0" r="0" b="0"/>
            <wp:docPr id="11" name="fig11" descr="Figure 11&#10;Capture d'écran — Sectio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 descr="Figure 11&#10;Capture d'écran — Section 1.2.3"/>
                    <pic:cNvPicPr>
                      <a:picLocks noChangeAspect="1" noChangeArrowheads="1"/>
                    </pic:cNvPicPr>
                  </pic:nvPicPr>
                  <pic:blipFill>
                    <a:blip r:embed="rId12"/>
                    <a:stretch>
                      <a:fillRect/>
                    </a:stretch>
                  </pic:blipFill>
                  <pic:spPr bwMode="auto">
                    <a:xfrm>
                      <a:off x="0" y="0"/>
                      <a:ext cx="5810250" cy="35528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11 — Section 1.2.3</w:t>
      </w:r>
    </w:p>
    <w:p>
      <w:pPr>
        <w:pStyle w:val="Heading2"/>
        <w:rPr/>
      </w:pPr>
      <w:bookmarkStart w:id="6" w:name="__RefHeading___Toc1564_1376105353"/>
      <w:bookmarkEnd w:id="6"/>
      <w:r>
        <w:rPr/>
        <w:t>1.3 Observer une commande en mode debug</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Q3  </w:t>
      </w:r>
      <w:r>
        <w:rPr>
          <w:b w:val="false"/>
          <w:bCs w:val="false"/>
          <w:color w:val="0B2545"/>
        </w:rPr>
        <w:t xml:space="preserve">Lancez la commande ci-dessous, puis analysez sa sortie à l’aide des clés de lecture ci-dessus. ( l’option </w:t>
      </w:r>
      <w:r>
        <w:rPr>
          <w:rFonts w:eastAsia="Courier New" w:cs="Courier New" w:ascii="Courier New" w:hAnsi="Courier New"/>
          <w:b w:val="false"/>
          <w:bCs w:val="false"/>
          <w:color w:val="B42318"/>
          <w:sz w:val="19"/>
          <w:szCs w:val="19"/>
          <w:shd w:fill="F3F5F8" w:val="clear"/>
        </w:rPr>
        <w:t>--debug</w:t>
      </w:r>
      <w:r>
        <w:rPr>
          <w:b w:val="false"/>
          <w:bCs w:val="false"/>
          <w:color w:val="0B2545"/>
        </w:rPr>
        <w:t xml:space="preserve"> pour afficher le requêtes sur la sortie d’erreur ; </w:t>
      </w:r>
      <w:r>
        <w:rPr>
          <w:rFonts w:eastAsia="Courier New" w:cs="Courier New" w:ascii="Courier New" w:hAnsi="Courier New"/>
          <w:b w:val="false"/>
          <w:bCs w:val="false"/>
          <w:color w:val="B42318"/>
          <w:sz w:val="19"/>
          <w:szCs w:val="19"/>
          <w:shd w:fill="F3F5F8" w:val="clear"/>
        </w:rPr>
        <w:t>2&gt;&amp;1</w:t>
      </w:r>
      <w:r>
        <w:rPr>
          <w:b w:val="false"/>
          <w:bCs w:val="false"/>
          <w:color w:val="0B2545"/>
        </w:rPr>
        <w:t xml:space="preserve"> pour la rediriger pour pouvoir la filtrer avec </w:t>
      </w:r>
      <w:r>
        <w:rPr>
          <w:rFonts w:eastAsia="Courier New" w:cs="Courier New" w:ascii="Courier New" w:hAnsi="Courier New"/>
          <w:b w:val="false"/>
          <w:bCs w:val="false"/>
          <w:color w:val="B42318"/>
          <w:sz w:val="19"/>
          <w:szCs w:val="19"/>
          <w:shd w:fill="F3F5F8" w:val="clear"/>
        </w:rPr>
        <w:t>grep</w:t>
      </w:r>
      <w:r>
        <w:rPr>
          <w:b w:val="false"/>
          <w:bCs w:val="false"/>
          <w:color w:val="0B2545"/>
        </w:rPr>
        <w:t>)</w:t>
      </w:r>
    </w:p>
    <w:p>
      <w:pPr>
        <w:pStyle w:val="Normal"/>
        <w:keepNext w:val="false"/>
        <w:keepLines/>
        <w:pBdr>
          <w:top w:val="single" w:sz="6" w:space="4" w:color="F3F5F8"/>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--debug server list 2&gt;&amp;1 | grep -iE 'REQ:|RESP:|authentication request'</w:t>
      </w:r>
    </w:p>
    <w:p>
      <w:pPr>
        <w:pStyle w:val="Normal"/>
        <w:keepLines/>
        <w:spacing w:lineRule="auto" w:line="276" w:before="0" w:after="100"/>
        <w:rPr/>
      </w:pPr>
      <w:r>
        <w:rPr/>
        <w:t>Cette commande permet de voir les échanges HTTP effectués par la CLI. Le support précise qu’une commande openstack envoie plusieurs requêtes HTTP : authentification, découverte éventuelle, puis requête métier.</w:t>
      </w:r>
    </w:p>
    <w:p>
      <w:pPr>
        <w:pStyle w:val="Normal"/>
        <w:keepNext w:val="true"/>
        <w:keepLines/>
        <w:tabs>
          <w:tab w:val="clear" w:pos="720"/>
          <w:tab w:val="left" w:pos="520" w:leader="none"/>
        </w:tabs>
        <w:spacing w:lineRule="auto" w:line="271" w:before="160" w:after="60"/>
        <w:ind w:hanging="340" w:left="520"/>
        <w:rPr/>
      </w:pPr>
      <w:r>
        <w:rPr>
          <w:b/>
          <w:bCs/>
          <w:color w:val="0B7A70"/>
        </w:rPr>
        <w:t>a)</w:t>
        <w:tab/>
      </w:r>
      <w:r>
        <w:rPr>
          <w:b/>
          <w:bCs/>
          <w:color w:val="374151"/>
        </w:rPr>
        <w:t>Combien d’échanges HTTP observez-vous (en comptant l’authentification) ? Pour chacun, indiquez la méthode, le service contacté, le code de réponse et le type de requête.</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6 requêtes HTTP sont visibles, dont 1 authentification.</w:t>
      </w:r>
    </w:p>
    <w:tbl>
      <w:tblPr>
        <w:tblW w:w="9638" w:type="dxa"/>
        <w:jc w:val="left"/>
        <w:tblInd w:w="0" w:type="dxa"/>
        <w:tblLayout w:type="fixed"/>
        <w:tblCellMar>
          <w:top w:w="70" w:type="dxa"/>
          <w:left w:w="90" w:type="dxa"/>
          <w:bottom w:w="70" w:type="dxa"/>
          <w:right w:w="90" w:type="dxa"/>
        </w:tblCellMar>
      </w:tblPr>
      <w:tblGrid>
        <w:gridCol w:w="500"/>
        <w:gridCol w:w="999"/>
        <w:gridCol w:w="1300"/>
        <w:gridCol w:w="3401"/>
        <w:gridCol w:w="999"/>
        <w:gridCol w:w="2438"/>
      </w:tblGrid>
      <w:tr>
        <w:trPr>
          <w:tblHeader w:val="true"/>
          <w:cantSplit w:val="true"/>
        </w:trPr>
        <w:tc>
          <w:tcPr>
            <w:tcW w:w="500"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9"/>
                <w:szCs w:val="19"/>
              </w:rPr>
              <w:t>#</w:t>
            </w:r>
          </w:p>
        </w:tc>
        <w:tc>
          <w:tcPr>
            <w:tcW w:w="999"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9"/>
                <w:szCs w:val="19"/>
              </w:rPr>
              <w:t>Méthode</w:t>
            </w:r>
          </w:p>
        </w:tc>
        <w:tc>
          <w:tcPr>
            <w:tcW w:w="1300"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Service</w:t>
            </w:r>
          </w:p>
        </w:tc>
        <w:tc>
          <w:tcPr>
            <w:tcW w:w="3401"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URL / endpoint</w:t>
            </w:r>
          </w:p>
        </w:tc>
        <w:tc>
          <w:tcPr>
            <w:tcW w:w="999"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9"/>
                <w:szCs w:val="19"/>
              </w:rPr>
              <w:t>Réponse</w:t>
            </w:r>
          </w:p>
        </w:tc>
        <w:tc>
          <w:tcPr>
            <w:tcW w:w="2438"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Type de requête</w:t>
            </w:r>
          </w:p>
        </w:tc>
      </w:tr>
      <w:tr>
        <w:trPr>
          <w:cantSplit w:val="true"/>
        </w:trPr>
        <w:tc>
          <w:tcPr>
            <w:tcW w:w="50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9"/>
                <w:szCs w:val="19"/>
              </w:rPr>
              <w:t>1</w:t>
            </w:r>
          </w:p>
        </w:tc>
        <w:tc>
          <w:tcPr>
            <w:tcW w:w="99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9"/>
                <w:szCs w:val="19"/>
              </w:rPr>
              <w:t>GET</w:t>
            </w:r>
          </w:p>
        </w:tc>
        <w:tc>
          <w:tcPr>
            <w:tcW w:w="1300"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Keystone</w:t>
            </w:r>
          </w:p>
        </w:tc>
        <w:tc>
          <w:tcPr>
            <w:tcW w:w="3401"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/identity</w:t>
            </w:r>
          </w:p>
        </w:tc>
        <w:tc>
          <w:tcPr>
            <w:tcW w:w="99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9"/>
                <w:szCs w:val="19"/>
              </w:rPr>
              <w:t>300</w:t>
            </w:r>
          </w:p>
        </w:tc>
        <w:tc>
          <w:tcPr>
            <w:tcW w:w="2438"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Découverte de version</w:t>
            </w:r>
          </w:p>
        </w:tc>
      </w:tr>
      <w:tr>
        <w:trPr>
          <w:cantSplit w:val="true"/>
        </w:trPr>
        <w:tc>
          <w:tcPr>
            <w:tcW w:w="500"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9"/>
                <w:szCs w:val="19"/>
              </w:rPr>
              <w:t>2</w:t>
            </w:r>
          </w:p>
        </w:tc>
        <w:tc>
          <w:tcPr>
            <w:tcW w:w="99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9"/>
                <w:szCs w:val="19"/>
              </w:rPr>
              <w:t>POST</w:t>
            </w:r>
          </w:p>
        </w:tc>
        <w:tc>
          <w:tcPr>
            <w:tcW w:w="1300"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Keystone</w:t>
            </w:r>
          </w:p>
        </w:tc>
        <w:tc>
          <w:tcPr>
            <w:tcW w:w="3401"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/identity/v3/auth/tokens</w:t>
            </w:r>
          </w:p>
        </w:tc>
        <w:tc>
          <w:tcPr>
            <w:tcW w:w="99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9"/>
                <w:szCs w:val="19"/>
              </w:rPr>
              <w:t>200</w:t>
            </w:r>
          </w:p>
        </w:tc>
        <w:tc>
          <w:tcPr>
            <w:tcW w:w="2438"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Authentification</w:t>
            </w:r>
          </w:p>
        </w:tc>
      </w:tr>
      <w:tr>
        <w:trPr>
          <w:cantSplit w:val="true"/>
        </w:trPr>
        <w:tc>
          <w:tcPr>
            <w:tcW w:w="50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9"/>
                <w:szCs w:val="19"/>
              </w:rPr>
              <w:t>3</w:t>
            </w:r>
          </w:p>
        </w:tc>
        <w:tc>
          <w:tcPr>
            <w:tcW w:w="99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9"/>
                <w:szCs w:val="19"/>
              </w:rPr>
              <w:t>GET</w:t>
            </w:r>
          </w:p>
        </w:tc>
        <w:tc>
          <w:tcPr>
            <w:tcW w:w="1300"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Glance</w:t>
            </w:r>
          </w:p>
        </w:tc>
        <w:tc>
          <w:tcPr>
            <w:tcW w:w="3401"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/image</w:t>
            </w:r>
          </w:p>
        </w:tc>
        <w:tc>
          <w:tcPr>
            <w:tcW w:w="99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9"/>
                <w:szCs w:val="19"/>
              </w:rPr>
              <w:t>300</w:t>
            </w:r>
          </w:p>
        </w:tc>
        <w:tc>
          <w:tcPr>
            <w:tcW w:w="2438"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Découverte de version</w:t>
            </w:r>
          </w:p>
        </w:tc>
      </w:tr>
      <w:tr>
        <w:trPr>
          <w:cantSplit w:val="true"/>
        </w:trPr>
        <w:tc>
          <w:tcPr>
            <w:tcW w:w="500"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9"/>
                <w:szCs w:val="19"/>
              </w:rPr>
              <w:t>4</w:t>
            </w:r>
          </w:p>
        </w:tc>
        <w:tc>
          <w:tcPr>
            <w:tcW w:w="99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9"/>
                <w:szCs w:val="19"/>
              </w:rPr>
              <w:t>GET</w:t>
            </w:r>
          </w:p>
        </w:tc>
        <w:tc>
          <w:tcPr>
            <w:tcW w:w="1300"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Nova</w:t>
            </w:r>
          </w:p>
        </w:tc>
        <w:tc>
          <w:tcPr>
            <w:tcW w:w="3401"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/compute/v2.1</w:t>
            </w:r>
          </w:p>
        </w:tc>
        <w:tc>
          <w:tcPr>
            <w:tcW w:w="99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9"/>
                <w:szCs w:val="19"/>
              </w:rPr>
              <w:t>200</w:t>
            </w:r>
          </w:p>
        </w:tc>
        <w:tc>
          <w:tcPr>
            <w:tcW w:w="2438"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Découverte de version</w:t>
            </w:r>
          </w:p>
        </w:tc>
      </w:tr>
      <w:tr>
        <w:trPr>
          <w:cantSplit w:val="true"/>
        </w:trPr>
        <w:tc>
          <w:tcPr>
            <w:tcW w:w="50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9"/>
                <w:szCs w:val="19"/>
              </w:rPr>
              <w:t>5</w:t>
            </w:r>
          </w:p>
        </w:tc>
        <w:tc>
          <w:tcPr>
            <w:tcW w:w="99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9"/>
                <w:szCs w:val="19"/>
              </w:rPr>
              <w:t>GET</w:t>
            </w:r>
          </w:p>
        </w:tc>
        <w:tc>
          <w:tcPr>
            <w:tcW w:w="1300"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Nova</w:t>
            </w:r>
          </w:p>
        </w:tc>
        <w:tc>
          <w:tcPr>
            <w:tcW w:w="3401"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/compute/v2.1/servers/detail?...</w:t>
            </w:r>
          </w:p>
        </w:tc>
        <w:tc>
          <w:tcPr>
            <w:tcW w:w="99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9"/>
                <w:szCs w:val="19"/>
              </w:rPr>
              <w:t>200</w:t>
            </w:r>
          </w:p>
        </w:tc>
        <w:tc>
          <w:tcPr>
            <w:tcW w:w="2438"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Requête métier server list</w:t>
            </w:r>
          </w:p>
        </w:tc>
      </w:tr>
      <w:tr>
        <w:trPr>
          <w:cantSplit w:val="true"/>
        </w:trPr>
        <w:tc>
          <w:tcPr>
            <w:tcW w:w="500"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9"/>
                <w:szCs w:val="19"/>
              </w:rPr>
              <w:t>6</w:t>
            </w:r>
          </w:p>
        </w:tc>
        <w:tc>
          <w:tcPr>
            <w:tcW w:w="99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9"/>
                <w:szCs w:val="19"/>
              </w:rPr>
              <w:t>GET</w:t>
            </w:r>
          </w:p>
        </w:tc>
        <w:tc>
          <w:tcPr>
            <w:tcW w:w="1300"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Glance</w:t>
            </w:r>
          </w:p>
        </w:tc>
        <w:tc>
          <w:tcPr>
            <w:tcW w:w="3401"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/image/v2/images?id=...</w:t>
            </w:r>
          </w:p>
        </w:tc>
        <w:tc>
          <w:tcPr>
            <w:tcW w:w="99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9"/>
                <w:szCs w:val="19"/>
              </w:rPr>
              <w:t>200</w:t>
            </w:r>
          </w:p>
        </w:tc>
        <w:tc>
          <w:tcPr>
            <w:tcW w:w="2438"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Requête métier : récupération des informations de l'image</w:t>
            </w:r>
          </w:p>
        </w:tc>
      </w:tr>
    </w:tbl>
    <w:p>
      <w:pPr>
        <w:pStyle w:val="Normal"/>
        <w:spacing w:before="0" w:after="140"/>
        <w:rPr/>
      </w:pPr>
      <w:r>
        <w:rPr/>
      </w:r>
    </w:p>
    <w:p>
      <w:pPr>
        <w:pStyle w:val="Normal"/>
        <w:keepNext w:val="true"/>
        <w:keepLines/>
        <w:tabs>
          <w:tab w:val="clear" w:pos="720"/>
          <w:tab w:val="left" w:pos="520" w:leader="none"/>
        </w:tabs>
        <w:spacing w:lineRule="auto" w:line="271" w:before="160" w:after="60"/>
        <w:ind w:hanging="340" w:left="520"/>
        <w:rPr/>
      </w:pPr>
      <w:r>
        <w:rPr>
          <w:b/>
          <w:bCs/>
          <w:color w:val="0B7A70"/>
        </w:rPr>
        <w:t>b)</w:t>
        <w:tab/>
      </w:r>
      <w:r>
        <w:rPr>
          <w:b/>
          <w:bCs/>
          <w:color w:val="374151"/>
        </w:rPr>
        <w:t>Pourquoi Keystone est-il toujours contacté en premier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b/>
          <w:bCs/>
        </w:rPr>
        <w:t>Keystone est contacté en premier parce qu’il est le service d’identité d’OpenStack.</w:t>
      </w:r>
    </w:p>
    <w:p>
      <w:pPr>
        <w:pStyle w:val="Normal"/>
        <w:keepLines/>
        <w:spacing w:lineRule="auto" w:line="276" w:before="0" w:after="100"/>
        <w:rPr/>
      </w:pPr>
      <w:r>
        <w:rPr/>
        <w:t>Avant d’accéder à Nova, Glance ou un autre service, la CLI doit :</w:t>
      </w:r>
    </w:p>
    <w:p>
      <w:pPr>
        <w:pStyle w:val="ListParagraph"/>
        <w:keepLines/>
        <w:numPr>
          <w:ilvl w:val="0"/>
          <w:numId w:val="6"/>
        </w:numPr>
        <w:spacing w:lineRule="auto" w:line="271" w:before="0" w:after="60"/>
        <w:rPr/>
      </w:pPr>
      <w:r>
        <w:rPr>
          <w:b/>
          <w:bCs/>
        </w:rPr>
        <w:t>s’authentifier auprès de Keystone</w:t>
      </w:r>
      <w:r>
        <w:rPr/>
        <w:t xml:space="preserve"> ;</w:t>
      </w:r>
    </w:p>
    <w:p>
      <w:pPr>
        <w:pStyle w:val="ListParagraph"/>
        <w:keepLines/>
        <w:numPr>
          <w:ilvl w:val="0"/>
          <w:numId w:val="2"/>
        </w:numPr>
        <w:spacing w:lineRule="auto" w:line="271" w:before="0" w:after="60"/>
        <w:rPr/>
      </w:pPr>
      <w:r>
        <w:rPr/>
        <w:t xml:space="preserve">obtenir un </w:t>
      </w:r>
      <w:r>
        <w:rPr>
          <w:b/>
          <w:bCs/>
        </w:rPr>
        <w:t>jeton d’authentification</w:t>
      </w:r>
      <w:r>
        <w:rPr/>
        <w:t xml:space="preserve"> ;</w:t>
      </w:r>
    </w:p>
    <w:p>
      <w:pPr>
        <w:pStyle w:val="ListParagraph"/>
        <w:keepLines/>
        <w:numPr>
          <w:ilvl w:val="0"/>
          <w:numId w:val="2"/>
        </w:numPr>
        <w:spacing w:lineRule="auto" w:line="271" w:before="0" w:after="60"/>
        <w:rPr/>
      </w:pPr>
      <w:r>
        <w:rPr/>
        <w:t xml:space="preserve">recevoir avec ce jeton le </w:t>
      </w:r>
      <w:r>
        <w:rPr>
          <w:b/>
          <w:bCs/>
        </w:rPr>
        <w:t>catalogue des services</w:t>
      </w:r>
      <w:r>
        <w:rPr/>
        <w:t>, qui indique les URLs des services disponibles ;</w:t>
      </w:r>
    </w:p>
    <w:p>
      <w:pPr>
        <w:pStyle w:val="ListParagraph"/>
        <w:keepLines/>
        <w:numPr>
          <w:ilvl w:val="0"/>
          <w:numId w:val="2"/>
        </w:numPr>
        <w:spacing w:lineRule="auto" w:line="271" w:before="0" w:after="60"/>
        <w:rPr/>
      </w:pPr>
      <w:r>
        <w:rPr/>
        <w:t>utiliser ensuite ce jeton pour contacter le service demandé.</w:t>
      </w:r>
    </w:p>
    <w:p>
      <w:pPr>
        <w:pStyle w:val="Normal"/>
        <w:keepNext w:val="true"/>
        <w:keepLines/>
        <w:tabs>
          <w:tab w:val="clear" w:pos="720"/>
          <w:tab w:val="left" w:pos="520" w:leader="none"/>
        </w:tabs>
        <w:spacing w:lineRule="auto" w:line="271" w:before="160" w:after="60"/>
        <w:ind w:hanging="340" w:left="520"/>
        <w:rPr/>
      </w:pPr>
      <w:r>
        <w:rPr>
          <w:b/>
          <w:bCs/>
          <w:color w:val="0B7A70"/>
        </w:rPr>
        <w:t>c)</w:t>
        <w:tab/>
      </w:r>
      <w:r>
        <w:rPr>
          <w:b/>
          <w:bCs/>
          <w:color w:val="374151"/>
        </w:rPr>
        <w:t>Où la CLI trouve-t-elle l’URL des services contactés après Keystone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 xml:space="preserve">La CLI trouve les </w:t>
      </w:r>
      <w:r>
        <w:rPr>
          <w:b/>
          <w:bCs/>
        </w:rPr>
        <w:t>URLs des services dans le catalogue des services (Service Catalog)</w:t>
      </w:r>
      <w:r>
        <w:rPr/>
        <w:t xml:space="preserve"> que </w:t>
      </w:r>
      <w:r>
        <w:rPr>
          <w:b/>
          <w:bCs/>
        </w:rPr>
        <w:t>Keystone lui retourne lors de l’authentification avec le jeton</w:t>
      </w:r>
      <w:r>
        <w:rPr/>
        <w:t>.</w:t>
      </w:r>
    </w:p>
    <w:p>
      <w:pPr>
        <w:pStyle w:val="Normal"/>
        <w:keepLines/>
        <w:spacing w:lineRule="auto" w:line="276" w:before="0" w:after="100"/>
        <w:rPr/>
      </w:pPr>
      <w:r>
        <w:rPr/>
        <w:t>Le catalogue contient notamment :</w:t>
      </w:r>
    </w:p>
    <w:p>
      <w:pPr>
        <w:pStyle w:val="ListParagraph"/>
        <w:keepLines/>
        <w:numPr>
          <w:ilvl w:val="0"/>
          <w:numId w:val="1"/>
        </w:numPr>
        <w:spacing w:lineRule="auto" w:line="271" w:before="0" w:after="60"/>
        <w:rPr/>
      </w:pPr>
      <w:r>
        <w:rPr/>
        <w:t>le nom du service (</w:t>
      </w:r>
      <w:r>
        <w:rPr>
          <w:rFonts w:eastAsia="Courier New" w:cs="Courier New" w:ascii="Courier New" w:hAnsi="Courier New"/>
          <w:color w:val="B42318"/>
          <w:sz w:val="19"/>
          <w:szCs w:val="19"/>
          <w:shd w:fill="F3F5F8" w:val="clear"/>
        </w:rPr>
        <w:t>nova</w:t>
      </w:r>
      <w:r>
        <w:rPr/>
        <w:t xml:space="preserve">, </w:t>
      </w:r>
      <w:r>
        <w:rPr>
          <w:rFonts w:eastAsia="Courier New" w:cs="Courier New" w:ascii="Courier New" w:hAnsi="Courier New"/>
          <w:color w:val="B42318"/>
          <w:sz w:val="19"/>
          <w:szCs w:val="19"/>
          <w:shd w:fill="F3F5F8" w:val="clear"/>
        </w:rPr>
        <w:t>glance</w:t>
      </w:r>
      <w:r>
        <w:rPr/>
        <w:t>, etc.) ;</w:t>
      </w:r>
    </w:p>
    <w:p>
      <w:pPr>
        <w:pStyle w:val="ListParagraph"/>
        <w:keepLines/>
        <w:numPr>
          <w:ilvl w:val="0"/>
          <w:numId w:val="1"/>
        </w:numPr>
        <w:spacing w:lineRule="auto" w:line="271" w:before="0" w:after="60"/>
        <w:rPr/>
      </w:pPr>
      <w:r>
        <w:rPr/>
        <w:t>son type (</w:t>
      </w:r>
      <w:r>
        <w:rPr>
          <w:rFonts w:eastAsia="Courier New" w:cs="Courier New" w:ascii="Courier New" w:hAnsi="Courier New"/>
          <w:color w:val="B42318"/>
          <w:sz w:val="19"/>
          <w:szCs w:val="19"/>
          <w:shd w:fill="F3F5F8" w:val="clear"/>
        </w:rPr>
        <w:t>compute</w:t>
      </w:r>
      <w:r>
        <w:rPr/>
        <w:t xml:space="preserve">, </w:t>
      </w:r>
      <w:r>
        <w:rPr>
          <w:rFonts w:eastAsia="Courier New" w:cs="Courier New" w:ascii="Courier New" w:hAnsi="Courier New"/>
          <w:color w:val="B42318"/>
          <w:sz w:val="19"/>
          <w:szCs w:val="19"/>
          <w:shd w:fill="F3F5F8" w:val="clear"/>
        </w:rPr>
        <w:t>image</w:t>
      </w:r>
      <w:r>
        <w:rPr/>
        <w:t>, etc.) ;</w:t>
      </w:r>
    </w:p>
    <w:p>
      <w:pPr>
        <w:pStyle w:val="ListParagraph"/>
        <w:keepLines/>
        <w:numPr>
          <w:ilvl w:val="0"/>
          <w:numId w:val="1"/>
        </w:numPr>
        <w:spacing w:lineRule="auto" w:line="271" w:before="0" w:after="60"/>
        <w:rPr/>
      </w:pPr>
      <w:r>
        <w:rPr/>
        <w:t xml:space="preserve">les </w:t>
      </w:r>
      <w:r>
        <w:rPr>
          <w:b/>
          <w:bCs/>
        </w:rPr>
        <w:t>endpoints / URLs</w:t>
      </w:r>
      <w:r>
        <w:rPr/>
        <w:t xml:space="preserve"> correspondant aux interfaces et régions.</w:t>
      </w:r>
    </w:p>
    <w:p>
      <w:pPr>
        <w:pStyle w:val="Normal"/>
        <w:keepNext w:val="true"/>
        <w:spacing w:before="140" w:after="40"/>
        <w:jc w:val="center"/>
        <w:rPr/>
      </w:pPr>
      <w:r>
        <w:rPr/>
        <w:drawing>
          <wp:inline distT="0" distB="0" distL="0" distR="0">
            <wp:extent cx="5810250" cy="3448050"/>
            <wp:effectExtent l="0" t="0" r="0" b="0"/>
            <wp:docPr id="12" name="fig12" descr="Figure 12&#10;Capture d'écran — Sec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 descr="Figure 12&#10;Capture d'écran — Section 1.3"/>
                    <pic:cNvPicPr>
                      <a:picLocks noChangeAspect="1" noChangeArrowheads="1"/>
                    </pic:cNvPicPr>
                  </pic:nvPicPr>
                  <pic:blipFill>
                    <a:blip r:embed="rId13"/>
                    <a:stretch>
                      <a:fillRect/>
                    </a:stretch>
                  </pic:blipFill>
                  <pic:spPr bwMode="auto">
                    <a:xfrm>
                      <a:off x="0" y="0"/>
                      <a:ext cx="5810250" cy="34480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12 — Section 1.3</w:t>
      </w:r>
    </w:p>
    <w:p>
      <w:pPr>
        <w:pStyle w:val="Heading2"/>
        <w:rPr/>
      </w:pPr>
      <w:bookmarkStart w:id="7" w:name="__RefHeading___Toc1566_1376105353"/>
      <w:bookmarkEnd w:id="7"/>
      <w:r>
        <w:rPr/>
        <w:t>1.4 Interroger l'API sans la CLI</w:t>
      </w:r>
    </w:p>
    <w:p>
      <w:pPr>
        <w:pStyle w:val="Normal"/>
        <w:keepLines/>
        <w:spacing w:lineRule="auto" w:line="276" w:before="0" w:after="100"/>
        <w:rPr/>
      </w:pPr>
      <w:r>
        <w:rPr/>
        <w:t>La CLI n’est qu’un client HTTP. Vous allez faire vous-même ses deux étapes : obtenir un jeton, puis appeler un service.</w:t>
      </w:r>
    </w:p>
    <w:p>
      <w:pPr>
        <w:pStyle w:val="Normal"/>
        <w:keepLines/>
        <w:spacing w:lineRule="auto" w:line="276" w:before="0" w:after="100"/>
        <w:rPr/>
      </w:pPr>
      <w:r>
        <w:rPr/>
        <w:t xml:space="preserve">Vérifiez que vous utilisez l’identité admin : </w:t>
      </w:r>
      <w:r>
        <w:rPr>
          <w:rFonts w:eastAsia="Courier New" w:cs="Courier New" w:ascii="Courier New" w:hAnsi="Courier New"/>
          <w:color w:val="B42318"/>
          <w:sz w:val="19"/>
          <w:szCs w:val="19"/>
          <w:shd w:fill="F3F5F8" w:val="clear"/>
        </w:rPr>
        <w:t>source ~/devstack/openrc admin admin</w:t>
      </w:r>
    </w:p>
    <w:p>
      <w:pPr>
        <w:pStyle w:val="Normal"/>
        <w:keepNext w:val="true"/>
        <w:spacing w:before="140" w:after="40"/>
        <w:jc w:val="center"/>
        <w:rPr/>
      </w:pPr>
      <w:r>
        <w:rPr/>
        <w:drawing>
          <wp:inline distT="0" distB="0" distL="0" distR="0">
            <wp:extent cx="5810250" cy="561975"/>
            <wp:effectExtent l="0" t="0" r="0" b="0"/>
            <wp:docPr id="13" name="fig13" descr="Figure 13&#10;Capture d'écran — Sec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 descr="Figure 13&#10;Capture d'écran — Section 1.4"/>
                    <pic:cNvPicPr>
                      <a:picLocks noChangeAspect="1" noChangeArrowheads="1"/>
                    </pic:cNvPicPr>
                  </pic:nvPicPr>
                  <pic:blipFill>
                    <a:blip r:embed="rId14"/>
                    <a:stretch>
                      <a:fillRect/>
                    </a:stretch>
                  </pic:blipFill>
                  <pic:spPr bwMode="auto">
                    <a:xfrm>
                      <a:off x="0" y="0"/>
                      <a:ext cx="5810250" cy="5619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13 — Section 1.4</w:t>
      </w:r>
    </w:p>
    <w:p>
      <w:pPr>
        <w:pStyle w:val="Heading3"/>
        <w:rPr/>
      </w:pPr>
      <w:bookmarkStart w:id="8" w:name="__RefHeading___Toc1568_1376105353"/>
      <w:bookmarkEnd w:id="8"/>
      <w:r>
        <w:rPr/>
        <w:t>1.4.1 Jeton et URL de Nova (récupérés une fois avec la CLI)</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export TOKEN=$(openstack token issue -f value -c id)</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export NOVA=$(openstack endpoint list --service compute --interface public -f value -c URL)</w:t>
      </w:r>
    </w:p>
    <w:p>
      <w:pPr>
        <w:pStyle w:val="Normal"/>
        <w:keepNext w:val="true"/>
        <w:spacing w:before="140" w:after="40"/>
        <w:jc w:val="center"/>
        <w:rPr/>
      </w:pPr>
      <w:r>
        <w:rPr/>
        <w:drawing>
          <wp:inline distT="0" distB="0" distL="0" distR="0">
            <wp:extent cx="5810250" cy="695325"/>
            <wp:effectExtent l="0" t="0" r="0" b="0"/>
            <wp:docPr id="14" name="fig14" descr="Figure 14&#10;Capture d'écran — Sectio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 descr="Figure 14&#10;Capture d'écran — Section 1.4.1"/>
                    <pic:cNvPicPr>
                      <a:picLocks noChangeAspect="1" noChangeArrowheads="1"/>
                    </pic:cNvPicPr>
                  </pic:nvPicPr>
                  <pic:blipFill>
                    <a:blip r:embed="rId15"/>
                    <a:stretch>
                      <a:fillRect/>
                    </a:stretch>
                  </pic:blipFill>
                  <pic:spPr bwMode="auto">
                    <a:xfrm>
                      <a:off x="0" y="0"/>
                      <a:ext cx="5810250" cy="6953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14 — Section 1.4.1</w:t>
      </w:r>
    </w:p>
    <w:p>
      <w:pPr>
        <w:pStyle w:val="Normal"/>
        <w:keepNext w:val="true"/>
        <w:spacing w:before="140" w:after="40"/>
        <w:jc w:val="center"/>
        <w:rPr/>
      </w:pPr>
      <w:r>
        <w:rPr/>
        <w:drawing>
          <wp:inline distT="0" distB="0" distL="0" distR="0">
            <wp:extent cx="5810250" cy="3152775"/>
            <wp:effectExtent l="0" t="0" r="0" b="0"/>
            <wp:docPr id="15" name="fig15" descr="Figure 15&#10;Capture d'écran — Sectio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5" descr="Figure 15&#10;Capture d'écran — Section 1.4.1"/>
                    <pic:cNvPicPr>
                      <a:picLocks noChangeAspect="1" noChangeArrowheads="1"/>
                    </pic:cNvPicPr>
                  </pic:nvPicPr>
                  <pic:blipFill>
                    <a:blip r:embed="rId16"/>
                    <a:stretch>
                      <a:fillRect/>
                    </a:stretch>
                  </pic:blipFill>
                  <pic:spPr bwMode="auto">
                    <a:xfrm>
                      <a:off x="0" y="0"/>
                      <a:ext cx="5810250" cy="31527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15 — Section 1.4.1</w:t>
      </w:r>
    </w:p>
    <w:p>
      <w:pPr>
        <w:pStyle w:val="Heading3"/>
        <w:rPr/>
      </w:pPr>
      <w:bookmarkStart w:id="9" w:name="__RefHeading___Toc1570_1376105353"/>
      <w:bookmarkEnd w:id="9"/>
      <w:r>
        <w:rPr/>
        <w:t>1.4.2 Appel direct à l'API de Nova</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curl -s  -H "X-Auth-Token: $TOKEN" $NOVA/servers</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curl -si $NOVA/servers | head -1</w:t>
      </w:r>
    </w:p>
    <w:p>
      <w:pPr>
        <w:pStyle w:val="Normal"/>
        <w:keepNext w:val="true"/>
        <w:spacing w:before="140" w:after="40"/>
        <w:jc w:val="center"/>
        <w:rPr/>
      </w:pPr>
      <w:r>
        <w:rPr/>
        <w:drawing>
          <wp:inline distT="0" distB="0" distL="0" distR="0">
            <wp:extent cx="5810250" cy="695325"/>
            <wp:effectExtent l="0" t="0" r="0" b="0"/>
            <wp:docPr id="16" name="fig16" descr="Figure 16&#10;Capture d'écran — Sectio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16" descr="Figure 16&#10;Capture d'écran — Section 1.4.2"/>
                    <pic:cNvPicPr>
                      <a:picLocks noChangeAspect="1" noChangeArrowheads="1"/>
                    </pic:cNvPicPr>
                  </pic:nvPicPr>
                  <pic:blipFill>
                    <a:blip r:embed="rId17"/>
                    <a:stretch>
                      <a:fillRect/>
                    </a:stretch>
                  </pic:blipFill>
                  <pic:spPr bwMode="auto">
                    <a:xfrm>
                      <a:off x="0" y="0"/>
                      <a:ext cx="5810250" cy="6953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16 — Section 1.4.2</w:t>
      </w:r>
    </w:p>
    <w:p>
      <w:pPr>
        <w:pStyle w:val="Normal"/>
        <w:keepNext w:val="true"/>
        <w:spacing w:before="140" w:after="40"/>
        <w:jc w:val="center"/>
        <w:rPr/>
      </w:pPr>
      <w:r>
        <w:rPr/>
        <w:drawing>
          <wp:inline distT="0" distB="0" distL="0" distR="0">
            <wp:extent cx="5810250" cy="390525"/>
            <wp:effectExtent l="0" t="0" r="0" b="0"/>
            <wp:docPr id="17" name="fig17" descr="Figure 17&#10;Capture d'écran — Sectio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7" descr="Figure 17&#10;Capture d'écran — Section 1.4.2"/>
                    <pic:cNvPicPr>
                      <a:picLocks noChangeAspect="1" noChangeArrowheads="1"/>
                    </pic:cNvPicPr>
                  </pic:nvPicPr>
                  <pic:blipFill>
                    <a:blip r:embed="rId18"/>
                    <a:stretch>
                      <a:fillRect/>
                    </a:stretch>
                  </pic:blipFill>
                  <pic:spPr bwMode="auto">
                    <a:xfrm>
                      <a:off x="0" y="0"/>
                      <a:ext cx="5810250" cy="3905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17 — Section 1.4.2</w:t>
      </w:r>
    </w:p>
    <w:p>
      <w:pPr>
        <w:pStyle w:val="Normal"/>
        <w:keepLines/>
        <w:spacing w:lineRule="auto" w:line="276" w:before="0" w:after="100"/>
        <w:rPr/>
      </w:pPr>
      <w:r>
        <w:rPr/>
        <w:t xml:space="preserve">Une seule commande CLI, </w:t>
      </w:r>
      <w:r>
        <w:rPr>
          <w:rFonts w:eastAsia="Courier New" w:cs="Courier New" w:ascii="Courier New" w:hAnsi="Courier New"/>
          <w:color w:val="B42318"/>
          <w:sz w:val="19"/>
          <w:szCs w:val="19"/>
          <w:shd w:fill="F3F5F8" w:val="clear"/>
        </w:rPr>
        <w:t>openstack server list</w:t>
      </w:r>
      <w:r>
        <w:rPr/>
        <w:t xml:space="preserve">, enchaîne automatiquement plusieurs requêtes HTTP : négociation de version, authentification auprès de Keystone, recherche du service dans le catalogue, puis appel à Nova. Elle met ensuite la réponse en forme. Avec </w:t>
      </w:r>
      <w:r>
        <w:rPr>
          <w:rFonts w:eastAsia="Courier New" w:cs="Courier New" w:ascii="Courier New" w:hAnsi="Courier New"/>
          <w:color w:val="B42318"/>
          <w:sz w:val="19"/>
          <w:szCs w:val="19"/>
          <w:shd w:fill="F3F5F8" w:val="clear"/>
        </w:rPr>
        <w:t>curl</w:t>
      </w:r>
      <w:r>
        <w:rPr/>
        <w:t>, chacune de ces étapes doit être faite à la main.</w:t>
      </w:r>
    </w:p>
    <w:tbl>
      <w:tblPr>
        <w:tblW w:w="9638" w:type="dxa"/>
        <w:jc w:val="left"/>
        <w:tblInd w:w="0" w:type="dxa"/>
        <w:tblLayout w:type="fixed"/>
        <w:tblCellMar>
          <w:top w:w="110" w:type="dxa"/>
          <w:left w:w="200" w:type="dxa"/>
          <w:bottom w:w="90" w:type="dxa"/>
          <w:right w:w="160" w:type="dxa"/>
        </w:tblCellMar>
      </w:tblPr>
      <w:tblGrid>
        <w:gridCol w:w="9638"/>
      </w:tblGrid>
      <w:tr>
        <w:trPr>
          <w:cantSplit w:val="true"/>
        </w:trPr>
        <w:tc>
          <w:tcPr>
            <w:tcW w:w="9638" w:type="dxa"/>
            <w:tcBorders>
              <w:left w:val="single" w:sz="24" w:space="0" w:color="0B7A70"/>
            </w:tcBorders>
            <w:shd w:color="auto" w:fill="E8F6F4" w:val="clear"/>
          </w:tcPr>
          <w:p>
            <w:pPr>
              <w:pStyle w:val="Normal"/>
              <w:keepNext w:val="true"/>
              <w:spacing w:before="0" w:after="60"/>
              <w:rPr/>
            </w:pPr>
            <w:r>
              <w:rPr>
                <w:b/>
                <w:bCs/>
                <w:color w:val="0B7A70"/>
                <w:sz w:val="21"/>
                <w:szCs w:val="21"/>
              </w:rPr>
              <w:t>À retenir</w:t>
            </w:r>
          </w:p>
          <w:p>
            <w:pPr>
              <w:pStyle w:val="Normal"/>
              <w:keepLines/>
              <w:spacing w:lineRule="auto" w:line="276" w:before="0" w:after="60"/>
              <w:rPr/>
            </w:pPr>
            <w:r>
              <w:rPr>
                <w:sz w:val="20"/>
                <w:szCs w:val="20"/>
              </w:rPr>
              <w:t>La CLI est une abstraction des API REST.</w:t>
            </w:r>
          </w:p>
        </w:tc>
      </w:tr>
    </w:tbl>
    <w:p>
      <w:pPr>
        <w:pStyle w:val="Normal"/>
        <w:spacing w:before="0" w:after="120"/>
        <w:rPr/>
      </w:pPr>
      <w:r>
        <w:rPr/>
      </w:r>
    </w:p>
    <w:p>
      <w:pPr>
        <w:pStyle w:val="Heading3"/>
        <w:rPr/>
      </w:pPr>
      <w:bookmarkStart w:id="10" w:name="__RefHeading___Toc1572_1376105353"/>
      <w:bookmarkEnd w:id="10"/>
      <w:r>
        <w:rPr/>
        <w:t>1.4.3 Révocation d'un jeton</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export TOKEN2=$(openstack token issue -f value -c id)</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token revoke $TOKEN2</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curl -s -H "X-Auth-Token: $TOKEN2" $NOVA/servers</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curl -s -H "X-Auth-Token: $TOKEN"  $NOVA/servers</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server list</w:t>
      </w:r>
    </w:p>
    <w:p>
      <w:pPr>
        <w:pStyle w:val="Normal"/>
        <w:keepNext w:val="true"/>
        <w:spacing w:before="140" w:after="40"/>
        <w:jc w:val="center"/>
        <w:rPr/>
      </w:pPr>
      <w:r>
        <w:rPr/>
        <w:drawing>
          <wp:inline distT="0" distB="0" distL="0" distR="0">
            <wp:extent cx="5810250" cy="247650"/>
            <wp:effectExtent l="0" t="0" r="0" b="0"/>
            <wp:docPr id="18" name="fig18" descr="Figure 18&#10;Capture d'écran — Sectio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18" descr="Figure 18&#10;Capture d'écran — Section 1.4.3"/>
                    <pic:cNvPicPr>
                      <a:picLocks noChangeAspect="1" noChangeArrowheads="1"/>
                    </pic:cNvPicPr>
                  </pic:nvPicPr>
                  <pic:blipFill>
                    <a:blip r:embed="rId19"/>
                    <a:stretch>
                      <a:fillRect/>
                    </a:stretch>
                  </pic:blipFill>
                  <pic:spPr bwMode="auto">
                    <a:xfrm>
                      <a:off x="0" y="0"/>
                      <a:ext cx="5810250" cy="2476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18 — Section 1.4.3</w:t>
      </w:r>
    </w:p>
    <w:p>
      <w:pPr>
        <w:pStyle w:val="Normal"/>
        <w:keepNext w:val="true"/>
        <w:spacing w:before="140" w:after="40"/>
        <w:jc w:val="center"/>
        <w:rPr/>
      </w:pPr>
      <w:r>
        <w:rPr/>
        <w:drawing>
          <wp:inline distT="0" distB="0" distL="0" distR="0">
            <wp:extent cx="5810250" cy="1200150"/>
            <wp:effectExtent l="0" t="0" r="0" b="0"/>
            <wp:docPr id="19" name="fig19" descr="Figure 19&#10;Capture d'écran — Sectio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19" descr="Figure 19&#10;Capture d'écran — Section 1.4.3"/>
                    <pic:cNvPicPr>
                      <a:picLocks noChangeAspect="1" noChangeArrowheads="1"/>
                    </pic:cNvPicPr>
                  </pic:nvPicPr>
                  <pic:blipFill>
                    <a:blip r:embed="rId20"/>
                    <a:stretch>
                      <a:fillRect/>
                    </a:stretch>
                  </pic:blipFill>
                  <pic:spPr bwMode="auto">
                    <a:xfrm>
                      <a:off x="0" y="0"/>
                      <a:ext cx="5810250" cy="12001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19 — Section 1.4.3</w:t>
      </w:r>
    </w:p>
    <w:tbl>
      <w:tblPr>
        <w:tblW w:w="9638" w:type="dxa"/>
        <w:jc w:val="left"/>
        <w:tblInd w:w="0" w:type="dxa"/>
        <w:tblLayout w:type="fixed"/>
        <w:tblCellMar>
          <w:top w:w="110" w:type="dxa"/>
          <w:left w:w="200" w:type="dxa"/>
          <w:bottom w:w="90" w:type="dxa"/>
          <w:right w:w="160" w:type="dxa"/>
        </w:tblCellMar>
      </w:tblPr>
      <w:tblGrid>
        <w:gridCol w:w="9638"/>
      </w:tblGrid>
      <w:tr>
        <w:trPr>
          <w:cantSplit w:val="true"/>
        </w:trPr>
        <w:tc>
          <w:tcPr>
            <w:tcW w:w="9638" w:type="dxa"/>
            <w:tcBorders>
              <w:left w:val="single" w:sz="24" w:space="0" w:color="0B7A70"/>
            </w:tcBorders>
            <w:shd w:color="auto" w:fill="E8F6F4" w:val="clear"/>
          </w:tcPr>
          <w:p>
            <w:pPr>
              <w:pStyle w:val="Normal"/>
              <w:keepNext w:val="true"/>
              <w:spacing w:before="0" w:after="60"/>
              <w:rPr/>
            </w:pPr>
            <w:r>
              <w:rPr>
                <w:b/>
                <w:bCs/>
                <w:color w:val="0B7A70"/>
                <w:sz w:val="21"/>
                <w:szCs w:val="21"/>
              </w:rPr>
              <w:t>À retenir</w:t>
            </w:r>
          </w:p>
          <w:p>
            <w:pPr>
              <w:pStyle w:val="ListParagraph"/>
              <w:keepLines/>
              <w:numPr>
                <w:ilvl w:val="0"/>
                <w:numId w:val="1"/>
              </w:numPr>
              <w:spacing w:lineRule="auto" w:line="271" w:before="0" w:after="60"/>
              <w:rPr/>
            </w:pPr>
            <w:r>
              <w:rPr>
                <w:sz w:val="20"/>
                <w:szCs w:val="20"/>
              </w:rPr>
              <w:t xml:space="preserve">Le jeton est la preuve d’identité obligatoire pour toute requête métier. Il est délivré par Keystone, présenté dans l’en-tête </w:t>
            </w:r>
            <w:r>
              <w:rPr>
                <w:rFonts w:eastAsia="Courier New" w:cs="Courier New" w:ascii="Courier New" w:hAnsi="Courier New"/>
                <w:color w:val="B42318"/>
                <w:sz w:val="18"/>
                <w:szCs w:val="18"/>
                <w:shd w:fill="F3F5F8" w:val="clear"/>
              </w:rPr>
              <w:t>X-Auth-Token</w:t>
            </w:r>
            <w:r>
              <w:rPr>
                <w:sz w:val="20"/>
                <w:szCs w:val="20"/>
              </w:rPr>
              <w:t>, et vérifié par le service appelé auprès de Keystone. Sans jeton valide, aucun service n’exécute de requête, même une simple lecture.</w:t>
            </w:r>
          </w:p>
          <w:p>
            <w:pPr>
              <w:pStyle w:val="ListParagraph"/>
              <w:keepLines/>
              <w:numPr>
                <w:ilvl w:val="0"/>
                <w:numId w:val="1"/>
              </w:numPr>
              <w:spacing w:lineRule="auto" w:line="271" w:before="0" w:after="60"/>
              <w:rPr/>
            </w:pPr>
            <w:r>
              <w:rPr>
                <w:sz w:val="20"/>
                <w:szCs w:val="20"/>
              </w:rPr>
              <w:t>Un jeton a une durée de vie limitée (expiration) et peut être invalidé à tout moment (révocation). Il ne contient pas le mot de passe : on peut couper un accès sans changer les identifiants de l’utilisateur.</w:t>
            </w:r>
          </w:p>
          <w:p>
            <w:pPr>
              <w:pStyle w:val="ListParagraph"/>
              <w:keepLines/>
              <w:numPr>
                <w:ilvl w:val="0"/>
                <w:numId w:val="1"/>
              </w:numPr>
              <w:spacing w:lineRule="auto" w:line="271" w:before="0" w:after="60"/>
              <w:rPr/>
            </w:pPr>
            <w:r>
              <w:rPr>
                <w:sz w:val="20"/>
                <w:szCs w:val="20"/>
              </w:rPr>
              <w:t>Révoquer un jeton n’affecte que ce jeton : les autres jetons du même utilisateur restent valides.</w:t>
            </w:r>
          </w:p>
        </w:tc>
      </w:tr>
    </w:tbl>
    <w:p>
      <w:pPr>
        <w:pStyle w:val="Normal"/>
        <w:spacing w:before="0" w:after="120"/>
        <w:rPr/>
      </w:pPr>
      <w:r>
        <w:rPr/>
      </w:r>
    </w:p>
    <w:p>
      <w:pPr>
        <w:pStyle w:val="Heading1"/>
        <w:rPr/>
      </w:pPr>
      <w:bookmarkStart w:id="11" w:name="__RefHeading___Toc1574_1376105353"/>
      <w:bookmarkEnd w:id="11"/>
      <w:r>
        <w:rPr/>
        <w:t>Partie 2 — Projets, utilisateurs et rôles</w:t>
      </w:r>
    </w:p>
    <w:p>
      <w:pPr>
        <w:pStyle w:val="Normal"/>
        <w:keepLines/>
        <w:spacing w:lineRule="auto" w:line="276" w:before="0" w:after="140"/>
        <w:rPr/>
      </w:pPr>
      <w:r>
        <w:rPr>
          <w:i w:val="false"/>
          <w:iCs w:val="false"/>
          <w:color w:val="374151"/>
        </w:rPr>
        <w:t>Vous allez créer deux équipes et trois utilisateurs.</w:t>
      </w:r>
    </w:p>
    <w:tbl>
      <w:tblPr>
        <w:tblW w:w="9638" w:type="dxa"/>
        <w:jc w:val="left"/>
        <w:tblInd w:w="0" w:type="dxa"/>
        <w:tblLayout w:type="fixed"/>
        <w:tblCellMar>
          <w:top w:w="70" w:type="dxa"/>
          <w:left w:w="90" w:type="dxa"/>
          <w:bottom w:w="70" w:type="dxa"/>
          <w:right w:w="90" w:type="dxa"/>
        </w:tblCellMar>
      </w:tblPr>
      <w:tblGrid>
        <w:gridCol w:w="1599"/>
        <w:gridCol w:w="1301"/>
        <w:gridCol w:w="1300"/>
        <w:gridCol w:w="5437"/>
      </w:tblGrid>
      <w:tr>
        <w:trPr>
          <w:tblHeader w:val="true"/>
          <w:cantSplit w:val="true"/>
        </w:trPr>
        <w:tc>
          <w:tcPr>
            <w:tcW w:w="1599"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Utilisateur</w:t>
            </w:r>
          </w:p>
        </w:tc>
        <w:tc>
          <w:tcPr>
            <w:tcW w:w="1301"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Projet</w:t>
            </w:r>
          </w:p>
        </w:tc>
        <w:tc>
          <w:tcPr>
            <w:tcW w:w="1300"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Rôle</w:t>
            </w:r>
          </w:p>
        </w:tc>
        <w:tc>
          <w:tcPr>
            <w:tcW w:w="5437"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Usage dans le TP</w:t>
            </w:r>
          </w:p>
        </w:tc>
      </w:tr>
      <w:tr>
        <w:trPr>
          <w:cantSplit w:val="true"/>
        </w:trPr>
        <w:tc>
          <w:tcPr>
            <w:tcW w:w="1599"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7"/>
                <w:szCs w:val="17"/>
              </w:rPr>
              <w:t>candace</w:t>
            </w:r>
          </w:p>
        </w:tc>
        <w:tc>
          <w:tcPr>
            <w:tcW w:w="1301"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7"/>
                <w:szCs w:val="17"/>
              </w:rPr>
              <w:t>team-a</w:t>
            </w:r>
          </w:p>
        </w:tc>
        <w:tc>
          <w:tcPr>
            <w:tcW w:w="1300"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7"/>
                <w:szCs w:val="17"/>
              </w:rPr>
              <w:t>member</w:t>
            </w:r>
          </w:p>
        </w:tc>
        <w:tc>
          <w:tcPr>
            <w:tcW w:w="5437"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Opère les ressources de l'équipe A</w:t>
            </w:r>
          </w:p>
        </w:tc>
      </w:tr>
      <w:tr>
        <w:trPr>
          <w:cantSplit w:val="true"/>
        </w:trPr>
        <w:tc>
          <w:tcPr>
            <w:tcW w:w="1599" w:type="dxa"/>
            <w:tcBorders>
              <w:bottom w:val="single" w:sz="4" w:space="0" w:color="D8DEE6"/>
            </w:tcBorders>
            <w:shd w:color="auto" w:fill="F7F9FB" w:val="clear"/>
            <w:vAlign w:val="center"/>
          </w:tcPr>
          <w:p>
            <w:pPr>
              <w:pStyle w:val="Normal"/>
              <w:spacing w:lineRule="auto" w:line="249" w:before="0" w:after="0"/>
              <w:jc w:val="left"/>
              <w:rPr/>
            </w:pPr>
            <w:r>
              <w:rPr>
                <w:rFonts w:eastAsia="Courier New" w:cs="Courier New" w:ascii="Courier New" w:hAnsi="Courier New"/>
                <w:color w:val="111827"/>
                <w:sz w:val="17"/>
                <w:szCs w:val="17"/>
              </w:rPr>
              <w:t>baron</w:t>
            </w:r>
          </w:p>
        </w:tc>
        <w:tc>
          <w:tcPr>
            <w:tcW w:w="1301" w:type="dxa"/>
            <w:tcBorders>
              <w:bottom w:val="single" w:sz="4" w:space="0" w:color="D8DEE6"/>
            </w:tcBorders>
            <w:shd w:color="auto" w:fill="F7F9FB" w:val="clear"/>
            <w:vAlign w:val="center"/>
          </w:tcPr>
          <w:p>
            <w:pPr>
              <w:pStyle w:val="Normal"/>
              <w:spacing w:lineRule="auto" w:line="249" w:before="0" w:after="0"/>
              <w:jc w:val="left"/>
              <w:rPr/>
            </w:pPr>
            <w:r>
              <w:rPr>
                <w:rFonts w:eastAsia="Courier New" w:cs="Courier New" w:ascii="Courier New" w:hAnsi="Courier New"/>
                <w:color w:val="111827"/>
                <w:sz w:val="17"/>
                <w:szCs w:val="17"/>
              </w:rPr>
              <w:t>team-b</w:t>
            </w:r>
          </w:p>
        </w:tc>
        <w:tc>
          <w:tcPr>
            <w:tcW w:w="1300" w:type="dxa"/>
            <w:tcBorders>
              <w:bottom w:val="single" w:sz="4" w:space="0" w:color="D8DEE6"/>
            </w:tcBorders>
            <w:shd w:color="auto" w:fill="F7F9FB" w:val="clear"/>
            <w:vAlign w:val="center"/>
          </w:tcPr>
          <w:p>
            <w:pPr>
              <w:pStyle w:val="Normal"/>
              <w:spacing w:lineRule="auto" w:line="249" w:before="0" w:after="0"/>
              <w:jc w:val="left"/>
              <w:rPr/>
            </w:pPr>
            <w:r>
              <w:rPr>
                <w:rFonts w:eastAsia="Courier New" w:cs="Courier New" w:ascii="Courier New" w:hAnsi="Courier New"/>
                <w:color w:val="111827"/>
                <w:sz w:val="17"/>
                <w:szCs w:val="17"/>
              </w:rPr>
              <w:t>member</w:t>
            </w:r>
          </w:p>
        </w:tc>
        <w:tc>
          <w:tcPr>
            <w:tcW w:w="5437"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Opère les ressources de l'équipe B</w:t>
            </w:r>
          </w:p>
        </w:tc>
      </w:tr>
      <w:tr>
        <w:trPr>
          <w:cantSplit w:val="true"/>
        </w:trPr>
        <w:tc>
          <w:tcPr>
            <w:tcW w:w="1599"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7"/>
                <w:szCs w:val="17"/>
              </w:rPr>
              <w:t>ian</w:t>
            </w:r>
          </w:p>
        </w:tc>
        <w:tc>
          <w:tcPr>
            <w:tcW w:w="1301"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7"/>
                <w:szCs w:val="17"/>
              </w:rPr>
              <w:t>team-a</w:t>
            </w:r>
          </w:p>
        </w:tc>
        <w:tc>
          <w:tcPr>
            <w:tcW w:w="1300"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7"/>
                <w:szCs w:val="17"/>
              </w:rPr>
              <w:t>reader</w:t>
            </w:r>
          </w:p>
        </w:tc>
        <w:tc>
          <w:tcPr>
            <w:tcW w:w="5437"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Consulte l'équipe A sans rien modifier</w:t>
            </w:r>
          </w:p>
        </w:tc>
      </w:tr>
    </w:tbl>
    <w:p>
      <w:pPr>
        <w:pStyle w:val="Normal"/>
        <w:spacing w:before="0" w:after="140"/>
        <w:rPr/>
      </w:pPr>
      <w:r>
        <w:rPr/>
      </w:r>
    </w:p>
    <w:p>
      <w:pPr>
        <w:pStyle w:val="Heading2"/>
        <w:rPr/>
      </w:pPr>
      <w:bookmarkStart w:id="12" w:name="__RefHeading___Toc1576_1376105353"/>
      <w:bookmarkEnd w:id="12"/>
      <w:r>
        <w:rPr/>
        <w:t>2.1 Explorer l'existant</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domain list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project list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user list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role list</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role assignment list --names</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Q4  </w:t>
      </w:r>
      <w:r>
        <w:rPr>
          <w:b w:val="false"/>
          <w:bCs w:val="false"/>
          <w:color w:val="0B2545"/>
        </w:rPr>
        <w:t xml:space="preserve">Quels projets et utilisateurs DevStack a-t-il créés ? Quels rôles existent ? Que signifie la colonne </w:t>
      </w:r>
      <w:r>
        <w:rPr>
          <w:rFonts w:eastAsia="Courier New" w:cs="Courier New" w:ascii="Courier New" w:hAnsi="Courier New"/>
          <w:b w:val="false"/>
          <w:bCs w:val="false"/>
          <w:color w:val="B42318"/>
          <w:sz w:val="19"/>
          <w:szCs w:val="19"/>
          <w:shd w:fill="F3F5F8" w:val="clear"/>
        </w:rPr>
        <w:t>Inherited</w:t>
      </w:r>
      <w:r>
        <w:rPr>
          <w:b w:val="false"/>
          <w:bCs w:val="false"/>
          <w:color w:val="0B2545"/>
        </w:rPr>
        <w:t xml:space="preserve">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DevStack fournit initialement notamment le projet admin et l’utilisateur admin (et peut également fournir demo/demo selon la configuration). Les projets team-a et team-b ainsi que les utilisateurs candace, baron et ian sont créés ensuite dans le TP. Les rôles utilisés sont admin, member et reader. La colonne Inherited indique si le rôle est hérité (True) ou attribué directement (False).</w:t>
      </w:r>
    </w:p>
    <w:p>
      <w:pPr>
        <w:pStyle w:val="Normal"/>
        <w:keepNext w:val="true"/>
        <w:spacing w:before="140" w:after="40"/>
        <w:jc w:val="center"/>
        <w:rPr/>
      </w:pPr>
      <w:r>
        <w:rPr/>
        <w:drawing>
          <wp:inline distT="0" distB="0" distL="0" distR="0">
            <wp:extent cx="5810250" cy="1295400"/>
            <wp:effectExtent l="0" t="0" r="0" b="0"/>
            <wp:docPr id="20" name="fig20" descr="Figure 20&#10;Capture d'écran — Sectio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20" descr="Figure 20&#10;Capture d'écran — Section 2.1"/>
                    <pic:cNvPicPr>
                      <a:picLocks noChangeAspect="1" noChangeArrowheads="1"/>
                    </pic:cNvPicPr>
                  </pic:nvPicPr>
                  <pic:blipFill>
                    <a:blip r:embed="rId21"/>
                    <a:stretch>
                      <a:fillRect/>
                    </a:stretch>
                  </pic:blipFill>
                  <pic:spPr bwMode="auto">
                    <a:xfrm>
                      <a:off x="0" y="0"/>
                      <a:ext cx="5810250" cy="12954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20 — Section 2.1</w:t>
      </w:r>
    </w:p>
    <w:p>
      <w:pPr>
        <w:pStyle w:val="Normal"/>
        <w:keepNext w:val="true"/>
        <w:spacing w:before="140" w:after="40"/>
        <w:jc w:val="center"/>
        <w:rPr/>
      </w:pPr>
      <w:r>
        <w:rPr/>
        <w:drawing>
          <wp:inline distT="0" distB="0" distL="0" distR="0">
            <wp:extent cx="5810250" cy="3143250"/>
            <wp:effectExtent l="0" t="0" r="0" b="0"/>
            <wp:docPr id="21" name="fig21" descr="Figure 21&#10;Capture d'écran — Sectio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21" descr="Figure 21&#10;Capture d'écran — Section 2.1"/>
                    <pic:cNvPicPr>
                      <a:picLocks noChangeAspect="1" noChangeArrowheads="1"/>
                    </pic:cNvPicPr>
                  </pic:nvPicPr>
                  <pic:blipFill>
                    <a:blip r:embed="rId22"/>
                    <a:stretch>
                      <a:fillRect/>
                    </a:stretch>
                  </pic:blipFill>
                  <pic:spPr bwMode="auto">
                    <a:xfrm>
                      <a:off x="0" y="0"/>
                      <a:ext cx="5810250" cy="31432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21 — Section 2.1</w:t>
      </w:r>
    </w:p>
    <w:p>
      <w:pPr>
        <w:pStyle w:val="Normal"/>
        <w:keepNext w:val="true"/>
        <w:spacing w:before="140" w:after="40"/>
        <w:jc w:val="center"/>
        <w:rPr/>
      </w:pPr>
      <w:r>
        <w:rPr/>
        <w:drawing>
          <wp:inline distT="0" distB="0" distL="0" distR="0">
            <wp:extent cx="5810250" cy="1457325"/>
            <wp:effectExtent l="0" t="0" r="0" b="0"/>
            <wp:docPr id="22" name="fig22" descr="Figure 22&#10;Capture d'écran — Sectio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22" descr="Figure 22&#10;Capture d'écran — Section 2.1"/>
                    <pic:cNvPicPr>
                      <a:picLocks noChangeAspect="1" noChangeArrowheads="1"/>
                    </pic:cNvPicPr>
                  </pic:nvPicPr>
                  <pic:blipFill>
                    <a:blip r:embed="rId23"/>
                    <a:stretch>
                      <a:fillRect/>
                    </a:stretch>
                  </pic:blipFill>
                  <pic:spPr bwMode="auto">
                    <a:xfrm>
                      <a:off x="0" y="0"/>
                      <a:ext cx="5810250" cy="14573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22 — Section 2.1</w:t>
      </w:r>
    </w:p>
    <w:p>
      <w:pPr>
        <w:pStyle w:val="Normal"/>
        <w:keepNext w:val="true"/>
        <w:spacing w:before="140" w:after="40"/>
        <w:jc w:val="center"/>
        <w:rPr/>
      </w:pPr>
      <w:r>
        <w:rPr/>
        <w:drawing>
          <wp:inline distT="0" distB="0" distL="0" distR="0">
            <wp:extent cx="5810250" cy="3981450"/>
            <wp:effectExtent l="0" t="0" r="0" b="0"/>
            <wp:docPr id="23" name="fig23" descr="Figure 23&#10;Capture d'écran — Sectio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23" descr="Figure 23&#10;Capture d'écran — Section 2.1"/>
                    <pic:cNvPicPr>
                      <a:picLocks noChangeAspect="1" noChangeArrowheads="1"/>
                    </pic:cNvPicPr>
                  </pic:nvPicPr>
                  <pic:blipFill>
                    <a:blip r:embed="rId24"/>
                    <a:stretch>
                      <a:fillRect/>
                    </a:stretch>
                  </pic:blipFill>
                  <pic:spPr bwMode="auto">
                    <a:xfrm>
                      <a:off x="0" y="0"/>
                      <a:ext cx="5810250" cy="39814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23 — Section 2.1</w:t>
      </w:r>
    </w:p>
    <w:p>
      <w:pPr>
        <w:pStyle w:val="Heading2"/>
        <w:rPr/>
      </w:pPr>
      <w:bookmarkStart w:id="13" w:name="__RefHeading___Toc1578_1376105353"/>
      <w:bookmarkEnd w:id="13"/>
      <w:r>
        <w:rPr/>
        <w:t>2.2 Créer projets, utilisateurs et attributions</w:t>
      </w:r>
    </w:p>
    <w:p>
      <w:pPr>
        <w:pStyle w:val="Normal"/>
        <w:keepNext w:val="true"/>
        <w:spacing w:before="200" w:after="80"/>
        <w:rPr/>
      </w:pPr>
      <w:r>
        <w:rPr>
          <w:b/>
          <w:bCs/>
          <w:color w:val="0B7A70"/>
          <w:sz w:val="22"/>
          <w:szCs w:val="22"/>
        </w:rPr>
        <w:t xml:space="preserve">Étape 1 — </w:t>
      </w:r>
      <w:r>
        <w:rPr>
          <w:b/>
          <w:bCs/>
          <w:color w:val="0B2545"/>
          <w:sz w:val="22"/>
          <w:szCs w:val="22"/>
        </w:rPr>
        <w:t>créer les projets</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project create --domain Default --description "Équipe A" team-a</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project create --domain Default --description "Équipe B" team-b</w:t>
      </w:r>
    </w:p>
    <w:p>
      <w:pPr>
        <w:pStyle w:val="Normal"/>
        <w:keepNext w:val="true"/>
        <w:spacing w:before="140" w:after="40"/>
        <w:jc w:val="center"/>
        <w:rPr/>
      </w:pPr>
      <w:r>
        <w:rPr/>
        <w:drawing>
          <wp:inline distT="0" distB="0" distL="0" distR="0">
            <wp:extent cx="5810250" cy="1704975"/>
            <wp:effectExtent l="0" t="0" r="0" b="0"/>
            <wp:docPr id="24" name="fig24" descr="Figure 24&#10;Capture d'écran — Sec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24" descr="Figure 24&#10;Capture d'écran — Section 2.2"/>
                    <pic:cNvPicPr>
                      <a:picLocks noChangeAspect="1" noChangeArrowheads="1"/>
                    </pic:cNvPicPr>
                  </pic:nvPicPr>
                  <pic:blipFill>
                    <a:blip r:embed="rId25"/>
                    <a:stretch>
                      <a:fillRect/>
                    </a:stretch>
                  </pic:blipFill>
                  <pic:spPr bwMode="auto">
                    <a:xfrm>
                      <a:off x="0" y="0"/>
                      <a:ext cx="5810250" cy="17049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24 — Section 2.2</w:t>
      </w:r>
    </w:p>
    <w:p>
      <w:pPr>
        <w:pStyle w:val="Normal"/>
        <w:keepNext w:val="true"/>
        <w:spacing w:before="140" w:after="40"/>
        <w:jc w:val="center"/>
        <w:rPr/>
      </w:pPr>
      <w:r>
        <w:rPr/>
        <w:drawing>
          <wp:inline distT="0" distB="0" distL="0" distR="0">
            <wp:extent cx="5810250" cy="1628775"/>
            <wp:effectExtent l="0" t="0" r="0" b="0"/>
            <wp:docPr id="25" name="fig25" descr="Figure 25&#10;Capture d'écran — Sec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25" descr="Figure 25&#10;Capture d'écran — Section 2.2"/>
                    <pic:cNvPicPr>
                      <a:picLocks noChangeAspect="1" noChangeArrowheads="1"/>
                    </pic:cNvPicPr>
                  </pic:nvPicPr>
                  <pic:blipFill>
                    <a:blip r:embed="rId26"/>
                    <a:stretch>
                      <a:fillRect/>
                    </a:stretch>
                  </pic:blipFill>
                  <pic:spPr bwMode="auto">
                    <a:xfrm>
                      <a:off x="0" y="0"/>
                      <a:ext cx="5810250" cy="16287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25 — Section 2.2</w:t>
      </w:r>
    </w:p>
    <w:p>
      <w:pPr>
        <w:pStyle w:val="Normal"/>
        <w:keepNext w:val="true"/>
        <w:spacing w:before="200" w:after="80"/>
        <w:rPr/>
      </w:pPr>
      <w:r>
        <w:rPr>
          <w:b/>
          <w:bCs/>
          <w:color w:val="0B7A70"/>
          <w:sz w:val="22"/>
          <w:szCs w:val="22"/>
        </w:rPr>
        <w:t xml:space="preserve">Étape 2 — </w:t>
      </w:r>
      <w:r>
        <w:rPr>
          <w:b/>
          <w:bCs/>
          <w:color w:val="0B2545"/>
          <w:sz w:val="22"/>
          <w:szCs w:val="22"/>
        </w:rPr>
        <w:t>créer les utilisateurs, sans rôle</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user create --domain Default --project team-a --password 'Candace#2026' 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user create --domain Default --project team-b --password 'Baron#2026'   baron</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user create --domain Default --project team-a --password 'Ian#2026' ian</w:t>
      </w:r>
    </w:p>
    <w:p>
      <w:pPr>
        <w:pStyle w:val="Normal"/>
        <w:keepNext w:val="true"/>
        <w:spacing w:before="140" w:after="40"/>
        <w:jc w:val="center"/>
        <w:rPr/>
      </w:pPr>
      <w:r>
        <w:rPr/>
        <w:drawing>
          <wp:inline distT="0" distB="0" distL="0" distR="0">
            <wp:extent cx="5810250" cy="1724025"/>
            <wp:effectExtent l="0" t="0" r="0" b="0"/>
            <wp:docPr id="26" name="fig26" descr="Figure 26&#10;Capture d'écran — Sec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26" descr="Figure 26&#10;Capture d'écran — Section 2.2"/>
                    <pic:cNvPicPr>
                      <a:picLocks noChangeAspect="1" noChangeArrowheads="1"/>
                    </pic:cNvPicPr>
                  </pic:nvPicPr>
                  <pic:blipFill>
                    <a:blip r:embed="rId27"/>
                    <a:stretch>
                      <a:fillRect/>
                    </a:stretch>
                  </pic:blipFill>
                  <pic:spPr bwMode="auto">
                    <a:xfrm>
                      <a:off x="0" y="0"/>
                      <a:ext cx="5810250" cy="17240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26 — Section 2.2</w:t>
      </w:r>
    </w:p>
    <w:p>
      <w:pPr>
        <w:pStyle w:val="Normal"/>
        <w:keepNext w:val="true"/>
        <w:spacing w:before="140" w:after="40"/>
        <w:jc w:val="center"/>
        <w:rPr/>
      </w:pPr>
      <w:r>
        <w:rPr/>
        <w:drawing>
          <wp:inline distT="0" distB="0" distL="0" distR="0">
            <wp:extent cx="5810250" cy="1743075"/>
            <wp:effectExtent l="0" t="0" r="0" b="0"/>
            <wp:docPr id="27" name="fig27" descr="Figure 27&#10;Capture d'écran — Sec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27" descr="Figure 27&#10;Capture d'écran — Section 2.2"/>
                    <pic:cNvPicPr>
                      <a:picLocks noChangeAspect="1" noChangeArrowheads="1"/>
                    </pic:cNvPicPr>
                  </pic:nvPicPr>
                  <pic:blipFill>
                    <a:blip r:embed="rId28"/>
                    <a:stretch>
                      <a:fillRect/>
                    </a:stretch>
                  </pic:blipFill>
                  <pic:spPr bwMode="auto">
                    <a:xfrm>
                      <a:off x="0" y="0"/>
                      <a:ext cx="5810250" cy="17430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27 — Section 2.2</w:t>
      </w:r>
    </w:p>
    <w:p>
      <w:pPr>
        <w:pStyle w:val="Normal"/>
        <w:keepNext w:val="true"/>
        <w:spacing w:before="140" w:after="40"/>
        <w:jc w:val="center"/>
        <w:rPr/>
      </w:pPr>
      <w:r>
        <w:rPr/>
        <w:drawing>
          <wp:inline distT="0" distB="0" distL="0" distR="0">
            <wp:extent cx="5810250" cy="1733550"/>
            <wp:effectExtent l="0" t="0" r="0" b="0"/>
            <wp:docPr id="28" name="fig28" descr="Figure 28&#10;Capture d'écran — Sec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28" descr="Figure 28&#10;Capture d'écran — Section 2.2"/>
                    <pic:cNvPicPr>
                      <a:picLocks noChangeAspect="1" noChangeArrowheads="1"/>
                    </pic:cNvPicPr>
                  </pic:nvPicPr>
                  <pic:blipFill>
                    <a:blip r:embed="rId29"/>
                    <a:stretch>
                      <a:fillRect/>
                    </a:stretch>
                  </pic:blipFill>
                  <pic:spPr bwMode="auto">
                    <a:xfrm>
                      <a:off x="0" y="0"/>
                      <a:ext cx="5810250" cy="17335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28 — Section 2.2</w:t>
      </w:r>
    </w:p>
    <w:p>
      <w:pPr>
        <w:pStyle w:val="Normal"/>
        <w:keepNext w:val="true"/>
        <w:spacing w:before="200" w:after="80"/>
        <w:rPr/>
      </w:pPr>
      <w:r>
        <w:rPr>
          <w:b/>
          <w:bCs/>
          <w:color w:val="0B7A70"/>
          <w:sz w:val="22"/>
          <w:szCs w:val="22"/>
        </w:rPr>
        <w:t xml:space="preserve">Étape 3 — </w:t>
      </w:r>
      <w:r>
        <w:rPr>
          <w:b/>
          <w:bCs/>
          <w:color w:val="0B2545"/>
          <w:sz w:val="22"/>
          <w:szCs w:val="22"/>
        </w:rPr>
        <w:t>tenter de s’authentifier en tant que candace</w:t>
      </w:r>
    </w:p>
    <w:p>
      <w:pPr>
        <w:pStyle w:val="Normal"/>
        <w:keepNext w:val="false"/>
        <w:keepLines/>
        <w:pBdr>
          <w:top w:val="single" w:sz="6" w:space="4" w:color="F3F5F8"/>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--os-username candace --os-password 'Candace#2026' --os-project-name team-a token issue</w:t>
      </w:r>
    </w:p>
    <w:p>
      <w:pPr>
        <w:pStyle w:val="Normal"/>
        <w:keepNext w:val="true"/>
        <w:spacing w:before="140" w:after="40"/>
        <w:jc w:val="center"/>
        <w:rPr/>
      </w:pPr>
      <w:r>
        <w:rPr/>
        <w:drawing>
          <wp:inline distT="0" distB="0" distL="0" distR="0">
            <wp:extent cx="5810250" cy="581025"/>
            <wp:effectExtent l="0" t="0" r="0" b="0"/>
            <wp:docPr id="29" name="fig29" descr="Figure 29&#10;Capture d'écran — Sec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29" descr="Figure 29&#10;Capture d'écran — Section 2.2"/>
                    <pic:cNvPicPr>
                      <a:picLocks noChangeAspect="1" noChangeArrowheads="1"/>
                    </pic:cNvPicPr>
                  </pic:nvPicPr>
                  <pic:blipFill>
                    <a:blip r:embed="rId30"/>
                    <a:stretch>
                      <a:fillRect/>
                    </a:stretch>
                  </pic:blipFill>
                  <pic:spPr bwMode="auto">
                    <a:xfrm>
                      <a:off x="0" y="0"/>
                      <a:ext cx="5810250" cy="5810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29 — Section 2.2</w:t>
      </w:r>
    </w:p>
    <w:p>
      <w:pPr>
        <w:pStyle w:val="Normal"/>
        <w:keepNext w:val="true"/>
        <w:spacing w:before="200" w:after="80"/>
        <w:rPr/>
      </w:pPr>
      <w:r>
        <w:rPr>
          <w:b/>
          <w:bCs/>
          <w:color w:val="0B7A70"/>
          <w:sz w:val="22"/>
          <w:szCs w:val="22"/>
        </w:rPr>
        <w:t xml:space="preserve">Étape 4 — </w:t>
      </w:r>
      <w:r>
        <w:rPr>
          <w:b/>
          <w:bCs/>
          <w:color w:val="0B2545"/>
          <w:sz w:val="22"/>
          <w:szCs w:val="22"/>
        </w:rPr>
        <w:t>attribuer les rôles</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role add --project team-a --user candace member</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role add --project team-b --user baron   member</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role add --project team-a --user ian reader</w:t>
      </w:r>
    </w:p>
    <w:p>
      <w:pPr>
        <w:pStyle w:val="Normal"/>
        <w:keepNext w:val="true"/>
        <w:spacing w:before="140" w:after="40"/>
        <w:jc w:val="center"/>
        <w:rPr/>
      </w:pPr>
      <w:r>
        <w:rPr/>
        <w:drawing>
          <wp:inline distT="0" distB="0" distL="0" distR="0">
            <wp:extent cx="5810250" cy="514350"/>
            <wp:effectExtent l="0" t="0" r="0" b="0"/>
            <wp:docPr id="30" name="fig30" descr="Figure 30&#10;Capture d'écran — Sec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30" descr="Figure 30&#10;Capture d'écran — Section 2.2"/>
                    <pic:cNvPicPr>
                      <a:picLocks noChangeAspect="1" noChangeArrowheads="1"/>
                    </pic:cNvPicPr>
                  </pic:nvPicPr>
                  <pic:blipFill>
                    <a:blip r:embed="rId31"/>
                    <a:stretch>
                      <a:fillRect/>
                    </a:stretch>
                  </pic:blipFill>
                  <pic:spPr bwMode="auto">
                    <a:xfrm>
                      <a:off x="0" y="0"/>
                      <a:ext cx="5810250" cy="5143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30 — Section 2.2</w:t>
      </w:r>
    </w:p>
    <w:p>
      <w:pPr>
        <w:pStyle w:val="Normal"/>
        <w:keepNext w:val="true"/>
        <w:spacing w:before="200" w:after="80"/>
        <w:rPr/>
      </w:pPr>
      <w:r>
        <w:rPr>
          <w:b/>
          <w:bCs/>
          <w:color w:val="0B7A70"/>
          <w:sz w:val="22"/>
          <w:szCs w:val="22"/>
        </w:rPr>
        <w:t xml:space="preserve">Étape 5 — </w:t>
      </w:r>
      <w:r>
        <w:rPr>
          <w:b/>
          <w:bCs/>
          <w:color w:val="0B2545"/>
          <w:sz w:val="22"/>
          <w:szCs w:val="22"/>
        </w:rPr>
        <w:t>tenter de s’authentifier en tant que candace (2ème tentative)</w:t>
      </w:r>
    </w:p>
    <w:p>
      <w:pPr>
        <w:pStyle w:val="Normal"/>
        <w:keepNext w:val="false"/>
        <w:keepLines/>
        <w:pBdr>
          <w:top w:val="single" w:sz="6" w:space="4" w:color="F3F5F8"/>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--os-username candace --os-password 'Candace#2026' --os-project-name team-a token issue</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Q5  </w:t>
      </w:r>
      <w:r>
        <w:rPr>
          <w:b w:val="false"/>
          <w:bCs w:val="false"/>
          <w:color w:val="0B2545"/>
        </w:rPr>
        <w:t xml:space="preserve">L’option </w:t>
      </w:r>
      <w:r>
        <w:rPr>
          <w:rFonts w:eastAsia="Courier New" w:cs="Courier New" w:ascii="Courier New" w:hAnsi="Courier New"/>
          <w:b w:val="false"/>
          <w:bCs w:val="false"/>
          <w:color w:val="B42318"/>
          <w:sz w:val="19"/>
          <w:szCs w:val="19"/>
          <w:shd w:fill="F3F5F8" w:val="clear"/>
        </w:rPr>
        <w:t>--project</w:t>
      </w:r>
      <w:r>
        <w:rPr>
          <w:b w:val="false"/>
          <w:bCs w:val="false"/>
          <w:color w:val="0B2545"/>
        </w:rPr>
        <w:t xml:space="preserve"> de </w:t>
      </w:r>
      <w:r>
        <w:rPr>
          <w:rFonts w:eastAsia="Courier New" w:cs="Courier New" w:ascii="Courier New" w:hAnsi="Courier New"/>
          <w:b w:val="false"/>
          <w:bCs w:val="false"/>
          <w:color w:val="B42318"/>
          <w:sz w:val="19"/>
          <w:szCs w:val="19"/>
          <w:shd w:fill="F3F5F8" w:val="clear"/>
        </w:rPr>
        <w:t>user create</w:t>
      </w:r>
      <w:r>
        <w:rPr>
          <w:b w:val="false"/>
          <w:bCs w:val="false"/>
          <w:color w:val="0B2545"/>
        </w:rPr>
        <w:t xml:space="preserve"> donne-t-elle un rôle à l’utilisateur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 xml:space="preserve">Pour qu’un utilisateur puisse travailler dans un projet, il faut une </w:t>
      </w:r>
      <w:r>
        <w:rPr>
          <w:b/>
          <w:bCs/>
        </w:rPr>
        <w:t>attribution de rôle</w:t>
      </w:r>
      <w:r>
        <w:rPr/>
        <w:t xml:space="preserve"> explicite (</w:t>
      </w:r>
      <w:r>
        <w:rPr>
          <w:rFonts w:eastAsia="Courier New" w:cs="Courier New" w:ascii="Courier New" w:hAnsi="Courier New"/>
          <w:b/>
          <w:bCs/>
          <w:color w:val="B42318"/>
          <w:sz w:val="19"/>
          <w:szCs w:val="19"/>
          <w:shd w:fill="F3F5F8" w:val="clear"/>
        </w:rPr>
        <w:t>role add</w:t>
      </w:r>
      <w:r>
        <w:rPr/>
        <w:t>) : le triplet utilisateur · rôle · projet. Sans elle, Keystone refuse même de délivrer un jeton lié à ce projet, puisque l’utilisateur n’y a aucun rôle.</w:t>
      </w:r>
    </w:p>
    <w:p>
      <w:pPr>
        <w:pStyle w:val="Normal"/>
        <w:keepLines/>
        <w:spacing w:lineRule="auto" w:line="276" w:before="0" w:after="100"/>
        <w:rPr/>
      </w:pPr>
      <w:r>
        <w:rPr/>
        <w:t>Non. --project lors de user create ne donne aucun rôle à l’utilisateur. Il faut attribuer explicitement un rôle avec role add. L’accès à un projet repose donc sur le triplet utilisateur · rôle · projet. Sans attribution de rôle, Keystone refuse de délivrer un jeton lié à ce projet.</w:t>
      </w:r>
    </w:p>
    <w:p>
      <w:pPr>
        <w:pStyle w:val="Normal"/>
        <w:keepNext w:val="true"/>
        <w:spacing w:before="140" w:after="40"/>
        <w:jc w:val="center"/>
        <w:rPr/>
      </w:pPr>
      <w:r>
        <w:rPr/>
        <w:drawing>
          <wp:inline distT="0" distB="0" distL="0" distR="0">
            <wp:extent cx="5810250" cy="1533525"/>
            <wp:effectExtent l="0" t="0" r="0" b="0"/>
            <wp:docPr id="31" name="fig31" descr="Figure 31&#10;Capture d'écran — Sec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31" descr="Figure 31&#10;Capture d'écran — Section 2.2"/>
                    <pic:cNvPicPr>
                      <a:picLocks noChangeAspect="1" noChangeArrowheads="1"/>
                    </pic:cNvPicPr>
                  </pic:nvPicPr>
                  <pic:blipFill>
                    <a:blip r:embed="rId32"/>
                    <a:stretch>
                      <a:fillRect/>
                    </a:stretch>
                  </pic:blipFill>
                  <pic:spPr bwMode="auto">
                    <a:xfrm>
                      <a:off x="0" y="0"/>
                      <a:ext cx="5810250" cy="15335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31 — Section 2.2</w:t>
      </w:r>
    </w:p>
    <w:p>
      <w:pPr>
        <w:pStyle w:val="Heading2"/>
        <w:rPr/>
      </w:pPr>
      <w:bookmarkStart w:id="14" w:name="__RefHeading___Toc1580_1376105353"/>
      <w:bookmarkEnd w:id="14"/>
      <w:r>
        <w:rPr/>
        <w:t>2.3 Un profil par identité avec clouds.yaml</w:t>
      </w:r>
    </w:p>
    <w:p>
      <w:pPr>
        <w:pStyle w:val="ListParagraph"/>
        <w:keepLines/>
        <w:numPr>
          <w:ilvl w:val="0"/>
          <w:numId w:val="1"/>
        </w:numPr>
        <w:spacing w:lineRule="auto" w:line="271" w:before="0" w:after="60"/>
        <w:rPr/>
      </w:pPr>
      <w:r>
        <w:rPr/>
        <w:t xml:space="preserve">Avec </w:t>
      </w:r>
      <w:r>
        <w:rPr>
          <w:rFonts w:eastAsia="Courier New" w:cs="Courier New" w:ascii="Courier New" w:hAnsi="Courier New"/>
          <w:color w:val="B42318"/>
          <w:sz w:val="19"/>
          <w:szCs w:val="19"/>
          <w:shd w:fill="F3F5F8" w:val="clear"/>
        </w:rPr>
        <w:t>source openrc</w:t>
      </w:r>
      <w:r>
        <w:rPr/>
        <w:t>, on ne peut charger qu’une identité à la fois, et il faut recharger le script pour en changer.</w:t>
      </w:r>
    </w:p>
    <w:p>
      <w:pPr>
        <w:pStyle w:val="ListParagraph"/>
        <w:keepLines/>
        <w:numPr>
          <w:ilvl w:val="0"/>
          <w:numId w:val="1"/>
        </w:numPr>
        <w:spacing w:lineRule="auto" w:line="271" w:before="0" w:after="60"/>
        <w:rPr/>
      </w:pPr>
      <w:r>
        <w:rPr/>
        <w:t xml:space="preserve">Le fichier </w:t>
      </w:r>
      <w:r>
        <w:rPr>
          <w:rFonts w:eastAsia="Courier New" w:cs="Courier New" w:ascii="Courier New" w:hAnsi="Courier New"/>
          <w:color w:val="B42318"/>
          <w:sz w:val="19"/>
          <w:szCs w:val="19"/>
          <w:shd w:fill="F3F5F8" w:val="clear"/>
        </w:rPr>
        <w:t>clouds.yaml</w:t>
      </w:r>
      <w:r>
        <w:rPr/>
        <w:t xml:space="preserve"> règle ce problème : c’est un carnet de connexions, où chaque profil regroupe tout ce qu’il faut pour se connecter sous une identité. On choisit ensuite le profil par son nom.</w:t>
      </w:r>
    </w:p>
    <w:p>
      <w:pPr>
        <w:pStyle w:val="ListParagraph"/>
        <w:keepLines/>
        <w:numPr>
          <w:ilvl w:val="0"/>
          <w:numId w:val="1"/>
        </w:numPr>
        <w:spacing w:lineRule="auto" w:line="271" w:before="0" w:after="60"/>
        <w:rPr/>
      </w:pPr>
      <w:r>
        <w:rPr/>
        <w:t>Ce fichier est le format standard des clients OpenStack (CLI, SDK Python, Ansible, Terraform).</w:t>
      </w:r>
    </w:p>
    <w:p>
      <w:pPr>
        <w:pStyle w:val="Normal"/>
        <w:keepLines/>
        <w:spacing w:lineRule="auto" w:line="276" w:before="0" w:after="100"/>
        <w:rPr/>
      </w:pPr>
      <w:r>
        <w:rPr/>
        <w:t xml:space="preserve">Créez le fichier </w:t>
      </w:r>
      <w:r>
        <w:rPr>
          <w:rFonts w:eastAsia="Courier New" w:cs="Courier New" w:ascii="Courier New" w:hAnsi="Courier New"/>
          <w:color w:val="B42318"/>
          <w:sz w:val="19"/>
          <w:szCs w:val="19"/>
          <w:shd w:fill="F3F5F8" w:val="clear"/>
        </w:rPr>
        <w:t>clouds.yaml</w:t>
      </w:r>
      <w:r>
        <w:rPr/>
        <w:t xml:space="preserve"> dans </w:t>
      </w:r>
      <w:r>
        <w:rPr>
          <w:rFonts w:eastAsia="Courier New" w:cs="Courier New" w:ascii="Courier New" w:hAnsi="Courier New"/>
          <w:color w:val="B42318"/>
          <w:sz w:val="19"/>
          <w:szCs w:val="19"/>
          <w:shd w:fill="F3F5F8" w:val="clear"/>
        </w:rPr>
        <w:t>~/.config/openstack</w:t>
      </w:r>
      <w:r>
        <w:rPr/>
        <w:t xml:space="preserve"> :</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mkdir -p ~/.config/openstack</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nano ~/.config/openstack/clouds.yaml</w:t>
      </w:r>
    </w:p>
    <w:p>
      <w:pPr>
        <w:pStyle w:val="Normal"/>
        <w:keepLines/>
        <w:spacing w:lineRule="auto" w:line="276" w:before="0" w:after="100"/>
        <w:rPr/>
      </w:pPr>
      <w:r>
        <w:rPr/>
        <w:t xml:space="preserve">Copiez-collez le contenu ci-dessous. Remplacez </w:t>
      </w:r>
      <w:r>
        <w:rPr>
          <w:rFonts w:eastAsia="Courier New" w:cs="Courier New" w:ascii="Courier New" w:hAnsi="Courier New"/>
          <w:color w:val="B42318"/>
          <w:sz w:val="19"/>
          <w:szCs w:val="19"/>
          <w:shd w:fill="F3F5F8" w:val="clear"/>
        </w:rPr>
        <w:t>&lt;ADMIN_PASSWORD&gt;</w:t>
      </w:r>
      <w:r>
        <w:rPr/>
        <w:t xml:space="preserve"> par le mot de passe de l’utilisateur admin, déclaré dans le fichier </w:t>
      </w:r>
      <w:r>
        <w:rPr>
          <w:rFonts w:eastAsia="Courier New" w:cs="Courier New" w:ascii="Courier New" w:hAnsi="Courier New"/>
          <w:color w:val="B42318"/>
          <w:sz w:val="19"/>
          <w:szCs w:val="19"/>
          <w:shd w:fill="F3F5F8" w:val="clear"/>
        </w:rPr>
        <w:t>local.conf</w:t>
      </w:r>
      <w:r>
        <w:rPr/>
        <w:t xml:space="preserve">. Enregistrez avec </w:t>
      </w:r>
      <w:r>
        <w:rPr>
          <w:b/>
          <w:bCs/>
        </w:rPr>
        <w:t>Ctrl + O</w:t>
      </w:r>
      <w:r>
        <w:rPr/>
        <w:t xml:space="preserve"> puis </w:t>
      </w:r>
      <w:r>
        <w:rPr>
          <w:b/>
          <w:bCs/>
        </w:rPr>
        <w:t>Entrée</w:t>
      </w:r>
      <w:r>
        <w:rPr/>
        <w:t xml:space="preserve">, et quittez avec </w:t>
      </w:r>
      <w:r>
        <w:rPr>
          <w:b/>
          <w:bCs/>
        </w:rPr>
        <w:t>Ctrl + X</w:t>
      </w:r>
      <w:r>
        <w:rPr/>
        <w:t>.</w:t>
      </w:r>
    </w:p>
    <w:p>
      <w:pPr>
        <w:pStyle w:val="Normal"/>
        <w:keepNext w:val="true"/>
        <w:spacing w:before="80" w:after="40"/>
        <w:rPr/>
      </w:pPr>
      <w:r>
        <w:rPr>
          <w:rFonts w:eastAsia="Calibri" w:cs="Calibri"/>
          <w:b/>
          <w:bCs/>
          <w:color w:val="6B7280"/>
          <w:spacing w:val="20"/>
          <w:sz w:val="15"/>
          <w:szCs w:val="15"/>
        </w:rPr>
        <w:t>CLOUDS.YAML</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clouds:</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admin: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auth:</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auth_url: http://localhost/identity</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username: admin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password: '&lt;ADMIN_PASSWORD&gt;'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project_name: admin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user_domain_name: Default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project_domain_name: Default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identity_api_version: 3</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auth:</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auth_url: http://localhost/identity</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username: 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password: 'Candace#2026'</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project_name: team-a</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user_domain_name: Default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project_domain_name: Default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identity_api_version: 3</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baron: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auth:</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auth_url: http://localhost/identity</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username: baron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password: 'Baron#2026'</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project_name: team-b</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user_domain_name: Default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project_domain_name: Default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identity_api_version: 3</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ian: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auth:</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auth_url: http://localhost/identity</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username: ian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password: 'Ian#2026'</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project_name: team-a</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user_domain_name: Default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project_domain_name: Default</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 xml:space="preserve">    </w:t>
      </w:r>
      <w:r>
        <w:rPr>
          <w:rFonts w:eastAsia="Courier New" w:cs="Courier New" w:ascii="Courier New" w:hAnsi="Courier New"/>
          <w:color w:val="111827"/>
          <w:sz w:val="17"/>
          <w:szCs w:val="17"/>
        </w:rPr>
        <w:t>identity_api_version: 3</w:t>
      </w:r>
    </w:p>
    <w:p>
      <w:pPr>
        <w:pStyle w:val="Normal"/>
        <w:keepNext w:val="true"/>
        <w:spacing w:before="140" w:after="40"/>
        <w:jc w:val="center"/>
        <w:rPr/>
      </w:pPr>
      <w:r>
        <w:rPr/>
        <w:drawing>
          <wp:inline distT="0" distB="0" distL="0" distR="0">
            <wp:extent cx="5810250" cy="4438650"/>
            <wp:effectExtent l="0" t="0" r="0" b="0"/>
            <wp:docPr id="32" name="fig32" descr="Figure 32&#10;Capture d'écran — Sec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32" descr="Figure 32&#10;Capture d'écran — Section 2.3"/>
                    <pic:cNvPicPr>
                      <a:picLocks noChangeAspect="1" noChangeArrowheads="1"/>
                    </pic:cNvPicPr>
                  </pic:nvPicPr>
                  <pic:blipFill>
                    <a:blip r:embed="rId33"/>
                    <a:stretch>
                      <a:fillRect/>
                    </a:stretch>
                  </pic:blipFill>
                  <pic:spPr bwMode="auto">
                    <a:xfrm>
                      <a:off x="0" y="0"/>
                      <a:ext cx="5810250" cy="44386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32 — Section 2.3</w:t>
      </w:r>
    </w:p>
    <w:p>
      <w:pPr>
        <w:pStyle w:val="Normal"/>
        <w:keepNext w:val="false"/>
        <w:keepLines/>
        <w:pBdr>
          <w:top w:val="single" w:sz="6" w:space="4" w:color="F3F5F8"/>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chmod 600 ~/.config/openstack/clouds.yaml</w:t>
      </w:r>
    </w:p>
    <w:p>
      <w:pPr>
        <w:pStyle w:val="Normal"/>
        <w:keepLines/>
        <w:spacing w:lineRule="auto" w:line="276" w:before="0" w:after="100"/>
        <w:rPr/>
      </w:pPr>
      <w:r>
        <w:rPr/>
        <w:t xml:space="preserve">Videz les variables </w:t>
      </w:r>
      <w:r>
        <w:rPr>
          <w:rFonts w:eastAsia="Courier New" w:cs="Courier New" w:ascii="Courier New" w:hAnsi="Courier New"/>
          <w:color w:val="B42318"/>
          <w:sz w:val="19"/>
          <w:szCs w:val="19"/>
          <w:shd w:fill="F3F5F8" w:val="clear"/>
        </w:rPr>
        <w:t>OS_*</w:t>
      </w:r>
      <w:r>
        <w:rPr/>
        <w:t xml:space="preserve"> chargées par </w:t>
      </w:r>
      <w:r>
        <w:rPr>
          <w:rFonts w:eastAsia="Courier New" w:cs="Courier New" w:ascii="Courier New" w:hAnsi="Courier New"/>
          <w:color w:val="B42318"/>
          <w:sz w:val="19"/>
          <w:szCs w:val="19"/>
          <w:shd w:fill="F3F5F8" w:val="clear"/>
        </w:rPr>
        <w:t>openrc</w:t>
      </w:r>
      <w:r>
        <w:rPr/>
        <w:t xml:space="preserve"> (dans le terminal courant, ou dans une seconde connexion SSH à votre instance) : sinon, elles prennent le pas sur </w:t>
      </w:r>
      <w:r>
        <w:rPr>
          <w:rFonts w:eastAsia="Courier New" w:cs="Courier New" w:ascii="Courier New" w:hAnsi="Courier New"/>
          <w:color w:val="B42318"/>
          <w:sz w:val="19"/>
          <w:szCs w:val="19"/>
          <w:shd w:fill="F3F5F8" w:val="clear"/>
        </w:rPr>
        <w:t>clouds.yaml</w:t>
      </w:r>
      <w:r>
        <w:rPr/>
        <w:t>.</w:t>
      </w:r>
    </w:p>
    <w:p>
      <w:pPr>
        <w:pStyle w:val="Normal"/>
        <w:keepNext w:val="true"/>
        <w:spacing w:before="140" w:after="40"/>
        <w:jc w:val="center"/>
        <w:rPr/>
      </w:pPr>
      <w:r>
        <w:rPr/>
        <w:drawing>
          <wp:inline distT="0" distB="0" distL="0" distR="0">
            <wp:extent cx="5810250" cy="371475"/>
            <wp:effectExtent l="0" t="0" r="0" b="0"/>
            <wp:docPr id="33" name="fig33" descr="Figure 33&#10;Capture d'écran — Sec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33" descr="Figure 33&#10;Capture d'écran — Section 2.3"/>
                    <pic:cNvPicPr>
                      <a:picLocks noChangeAspect="1" noChangeArrowheads="1"/>
                    </pic:cNvPicPr>
                  </pic:nvPicPr>
                  <pic:blipFill>
                    <a:blip r:embed="rId34"/>
                    <a:stretch>
                      <a:fillRect/>
                    </a:stretch>
                  </pic:blipFill>
                  <pic:spPr bwMode="auto">
                    <a:xfrm>
                      <a:off x="0" y="0"/>
                      <a:ext cx="5810250" cy="3714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33 — Section 2.3</w:t>
      </w:r>
    </w:p>
    <w:p>
      <w:pPr>
        <w:pStyle w:val="Normal"/>
        <w:keepNext w:val="false"/>
        <w:keepLines/>
        <w:pBdr>
          <w:top w:val="single" w:sz="6" w:space="4" w:color="F3F5F8"/>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unset $(env | grep '^OS_' | cut -d= -f1)</w:t>
      </w:r>
    </w:p>
    <w:p>
      <w:pPr>
        <w:pStyle w:val="Normal"/>
        <w:keepNext w:val="true"/>
        <w:spacing w:before="140" w:after="40"/>
        <w:jc w:val="center"/>
        <w:rPr/>
      </w:pPr>
      <w:r>
        <w:rPr/>
        <w:drawing>
          <wp:inline distT="0" distB="0" distL="0" distR="0">
            <wp:extent cx="5810250" cy="266700"/>
            <wp:effectExtent l="0" t="0" r="0" b="0"/>
            <wp:docPr id="34" name="fig34" descr="Figure 34&#10;Capture d'écran — Sec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34" descr="Figure 34&#10;Capture d'écran — Section 2.3"/>
                    <pic:cNvPicPr>
                      <a:picLocks noChangeAspect="1" noChangeArrowheads="1"/>
                    </pic:cNvPicPr>
                  </pic:nvPicPr>
                  <pic:blipFill>
                    <a:blip r:embed="rId35"/>
                    <a:stretch>
                      <a:fillRect/>
                    </a:stretch>
                  </pic:blipFill>
                  <pic:spPr bwMode="auto">
                    <a:xfrm>
                      <a:off x="0" y="0"/>
                      <a:ext cx="5810250" cy="2667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34 — Section 2.3</w:t>
      </w:r>
    </w:p>
    <w:p>
      <w:pPr>
        <w:pStyle w:val="Normal"/>
        <w:keepLines/>
        <w:spacing w:lineRule="auto" w:line="276" w:before="0" w:after="100"/>
        <w:rPr/>
      </w:pPr>
      <w:r>
        <w:rPr/>
        <w:t>Testez le chargement de chaque profil :</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admin   token issue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candace token issue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baron   token issue</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--os-cloud ian     token issue</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Q6  </w:t>
      </w:r>
      <w:r>
        <w:rPr>
          <w:b w:val="false"/>
          <w:bCs w:val="false"/>
          <w:color w:val="0B2545"/>
        </w:rPr>
        <w:t>Pour chaque jeton, relevez le projet et l’identifiant utilisateur. Quels profils partagent le même projet ? Qu’est-ce que cela signifie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 xml:space="preserve">Les profils Candace et Ian partagent le projet </w:t>
      </w:r>
      <w:r>
        <w:rPr>
          <w:b/>
          <w:bCs/>
        </w:rPr>
        <w:t>team-a</w:t>
      </w:r>
      <w:r>
        <w:rPr/>
        <w:t xml:space="preserve">. Cela signifie qu’ils appartiennent au même tenant et peuvent accéder aux ressources de ce projet, mais leurs droits diffèrent selon leur rôle : Candace est </w:t>
      </w:r>
      <w:r>
        <w:rPr>
          <w:b/>
          <w:bCs/>
        </w:rPr>
        <w:t>member</w:t>
      </w:r>
      <w:r>
        <w:rPr/>
        <w:t xml:space="preserve">, tandis qu’Ian est </w:t>
      </w:r>
      <w:r>
        <w:rPr>
          <w:b/>
          <w:bCs/>
        </w:rPr>
        <w:t>reader</w:t>
      </w:r>
      <w:r>
        <w:rPr/>
        <w:t>. Le projet détermine le périmètre des ressources accessibles et le rôle détermine les actions autorisées.</w:t>
      </w:r>
    </w:p>
    <w:p>
      <w:pPr>
        <w:pStyle w:val="Normal"/>
        <w:keepLines/>
        <w:spacing w:lineRule="auto" w:line="276" w:before="0" w:after="100"/>
        <w:rPr/>
      </w:pPr>
      <w:r>
        <w:rPr/>
        <w:t xml:space="preserve">Pour la suite, choisissez l’identité de tout le terminal avec </w:t>
      </w:r>
      <w:r>
        <w:rPr>
          <w:rFonts w:eastAsia="Courier New" w:cs="Courier New" w:ascii="Courier New" w:hAnsi="Courier New"/>
          <w:color w:val="B42318"/>
          <w:sz w:val="19"/>
          <w:szCs w:val="19"/>
          <w:shd w:fill="F3F5F8" w:val="clear"/>
        </w:rPr>
        <w:t>export OS_CLOUD=&lt;profil&gt;</w:t>
      </w:r>
      <w:r>
        <w:rPr/>
        <w:t xml:space="preserve"> : les commandes suivantes s’exécutent alors sous ce profil, sans option. Inutile de demander un jeton au préalable : chaque commande s’authentifie elle-même.</w:t>
      </w:r>
    </w:p>
    <w:p>
      <w:pPr>
        <w:pStyle w:val="Normal"/>
        <w:keepNext w:val="true"/>
        <w:spacing w:before="140" w:after="40"/>
        <w:jc w:val="center"/>
        <w:rPr/>
      </w:pPr>
      <w:r>
        <w:rPr/>
        <w:drawing>
          <wp:inline distT="0" distB="0" distL="0" distR="0">
            <wp:extent cx="5810250" cy="1266825"/>
            <wp:effectExtent l="0" t="0" r="0" b="0"/>
            <wp:docPr id="35" name="fig35" descr="Figure 35&#10;Capture d'écran — Sec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35" descr="Figure 35&#10;Capture d'écran — Section 2.3"/>
                    <pic:cNvPicPr>
                      <a:picLocks noChangeAspect="1" noChangeArrowheads="1"/>
                    </pic:cNvPicPr>
                  </pic:nvPicPr>
                  <pic:blipFill>
                    <a:blip r:embed="rId36"/>
                    <a:stretch>
                      <a:fillRect/>
                    </a:stretch>
                  </pic:blipFill>
                  <pic:spPr bwMode="auto">
                    <a:xfrm>
                      <a:off x="0" y="0"/>
                      <a:ext cx="5810250" cy="12668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35 — Section 2.3</w:t>
      </w:r>
    </w:p>
    <w:p>
      <w:pPr>
        <w:pStyle w:val="Normal"/>
        <w:keepNext w:val="true"/>
        <w:spacing w:before="140" w:after="40"/>
        <w:jc w:val="center"/>
        <w:rPr/>
      </w:pPr>
      <w:r>
        <w:rPr/>
        <w:drawing>
          <wp:inline distT="0" distB="0" distL="0" distR="0">
            <wp:extent cx="5810250" cy="1333500"/>
            <wp:effectExtent l="0" t="0" r="0" b="0"/>
            <wp:docPr id="36" name="fig36" descr="Figure 36&#10;Capture d'écran — Sec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36" descr="Figure 36&#10;Capture d'écran — Section 2.3"/>
                    <pic:cNvPicPr>
                      <a:picLocks noChangeAspect="1" noChangeArrowheads="1"/>
                    </pic:cNvPicPr>
                  </pic:nvPicPr>
                  <pic:blipFill>
                    <a:blip r:embed="rId37"/>
                    <a:stretch>
                      <a:fillRect/>
                    </a:stretch>
                  </pic:blipFill>
                  <pic:spPr bwMode="auto">
                    <a:xfrm>
                      <a:off x="0" y="0"/>
                      <a:ext cx="5810250" cy="13335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36 — Section 2.3</w:t>
      </w:r>
    </w:p>
    <w:p>
      <w:pPr>
        <w:pStyle w:val="Normal"/>
        <w:keepNext w:val="true"/>
        <w:spacing w:before="140" w:after="40"/>
        <w:jc w:val="center"/>
        <w:rPr/>
      </w:pPr>
      <w:r>
        <w:rPr/>
        <w:drawing>
          <wp:inline distT="0" distB="0" distL="0" distR="0">
            <wp:extent cx="5810250" cy="1333500"/>
            <wp:effectExtent l="0" t="0" r="0" b="0"/>
            <wp:docPr id="37" name="fig37" descr="Figure 37&#10;Capture d'écran — Sec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37" descr="Figure 37&#10;Capture d'écran — Section 2.3"/>
                    <pic:cNvPicPr>
                      <a:picLocks noChangeAspect="1" noChangeArrowheads="1"/>
                    </pic:cNvPicPr>
                  </pic:nvPicPr>
                  <pic:blipFill>
                    <a:blip r:embed="rId38"/>
                    <a:stretch>
                      <a:fillRect/>
                    </a:stretch>
                  </pic:blipFill>
                  <pic:spPr bwMode="auto">
                    <a:xfrm>
                      <a:off x="0" y="0"/>
                      <a:ext cx="5810250" cy="13335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37 — Section 2.3</w:t>
      </w:r>
    </w:p>
    <w:p>
      <w:pPr>
        <w:pStyle w:val="Normal"/>
        <w:keepNext w:val="true"/>
        <w:spacing w:before="140" w:after="40"/>
        <w:jc w:val="center"/>
        <w:rPr/>
      </w:pPr>
      <w:r>
        <w:rPr/>
        <w:drawing>
          <wp:inline distT="0" distB="0" distL="0" distR="0">
            <wp:extent cx="5810250" cy="1323975"/>
            <wp:effectExtent l="0" t="0" r="0" b="0"/>
            <wp:docPr id="38" name="fig38" descr="Figure 38&#10;Capture d'écran — Sec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38" descr="Figure 38&#10;Capture d'écran — Section 2.3"/>
                    <pic:cNvPicPr>
                      <a:picLocks noChangeAspect="1" noChangeArrowheads="1"/>
                    </pic:cNvPicPr>
                  </pic:nvPicPr>
                  <pic:blipFill>
                    <a:blip r:embed="rId39"/>
                    <a:stretch>
                      <a:fillRect/>
                    </a:stretch>
                  </pic:blipFill>
                  <pic:spPr bwMode="auto">
                    <a:xfrm>
                      <a:off x="0" y="0"/>
                      <a:ext cx="5810250" cy="13239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38 — Section 2.3</w:t>
      </w:r>
    </w:p>
    <w:p>
      <w:pPr>
        <w:pStyle w:val="Heading2"/>
        <w:rPr/>
      </w:pPr>
      <w:bookmarkStart w:id="15" w:name="__RefHeading___Toc1582_1376105353"/>
      <w:bookmarkEnd w:id="15"/>
      <w:r>
        <w:rPr/>
        <w:t>2.4 Groupes</w:t>
      </w:r>
    </w:p>
    <w:p>
      <w:pPr>
        <w:pStyle w:val="Normal"/>
        <w:keepLines/>
        <w:spacing w:lineRule="auto" w:line="276" w:before="0" w:after="100"/>
        <w:rPr/>
      </w:pPr>
      <w:r>
        <w:rPr/>
        <w:t xml:space="preserve">Créez un groupe </w:t>
      </w:r>
      <w:r>
        <w:rPr>
          <w:rFonts w:eastAsia="Courier New" w:cs="Courier New" w:ascii="Courier New" w:hAnsi="Courier New"/>
          <w:color w:val="B42318"/>
          <w:sz w:val="19"/>
          <w:szCs w:val="19"/>
          <w:shd w:fill="F3F5F8" w:val="clear"/>
        </w:rPr>
        <w:t>ops</w:t>
      </w:r>
      <w:r>
        <w:rPr/>
        <w:t xml:space="preserve">, ajoutez-y candace, puis donnez au groupe le rôle </w:t>
      </w:r>
      <w:r>
        <w:rPr>
          <w:rFonts w:eastAsia="Courier New" w:cs="Courier New" w:ascii="Courier New" w:hAnsi="Courier New"/>
          <w:color w:val="B42318"/>
          <w:sz w:val="19"/>
          <w:szCs w:val="19"/>
          <w:shd w:fill="F3F5F8" w:val="clear"/>
        </w:rPr>
        <w:t>reader</w:t>
      </w:r>
      <w:r>
        <w:rPr/>
        <w:t xml:space="preserve"> sur team-b.</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group create ops</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group add user ops 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role add --group ops --project team-b reader</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role assignment list --names --effective --user candace</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Q7  </w:t>
      </w:r>
      <w:r>
        <w:rPr>
          <w:b w:val="false"/>
          <w:bCs w:val="false"/>
          <w:color w:val="0B2545"/>
        </w:rPr>
        <w:t xml:space="preserve">Pourquoi l’option </w:t>
      </w:r>
      <w:r>
        <w:rPr>
          <w:rFonts w:eastAsia="Courier New" w:cs="Courier New" w:ascii="Courier New" w:hAnsi="Courier New"/>
          <w:b w:val="false"/>
          <w:bCs w:val="false"/>
          <w:color w:val="B42318"/>
          <w:sz w:val="19"/>
          <w:szCs w:val="19"/>
          <w:shd w:fill="F3F5F8" w:val="clear"/>
        </w:rPr>
        <w:t>--effective</w:t>
      </w:r>
      <w:r>
        <w:rPr>
          <w:b w:val="false"/>
          <w:bCs w:val="false"/>
          <w:color w:val="0B2545"/>
        </w:rPr>
        <w:t xml:space="preserve"> change-t-elle le résultat ? Quel est l’intérêt des groupes quand 40 étudiants rejoignent un projet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--effective permet d’afficher les rôles effectivement obtenus par un utilisateur, y compris ceux hérités de son appartenance à un groupe. Les groupes facilitent la gestion des droits : au lieu d’attribuer individuellement un rôle à 40 étudiants, on attribue le rôle au groupe puis on ajoute les étudiants à ce groupe. Cela simplifie considérablement l’administration des permissions.</w:t>
      </w:r>
    </w:p>
    <w:p>
      <w:pPr>
        <w:pStyle w:val="Normal"/>
        <w:keepNext w:val="true"/>
        <w:spacing w:before="160" w:after="60"/>
        <w:rPr/>
      </w:pPr>
      <w:r>
        <w:rPr>
          <w:b/>
          <w:bCs/>
          <w:color w:val="0B2545"/>
        </w:rPr>
        <w:t>Test</w:t>
      </w:r>
    </w:p>
    <w:p>
      <w:pPr>
        <w:pStyle w:val="Normal"/>
        <w:keepNext w:val="true"/>
        <w:spacing w:before="140" w:after="40"/>
        <w:jc w:val="center"/>
        <w:rPr/>
      </w:pPr>
      <w:r>
        <w:rPr/>
        <w:drawing>
          <wp:inline distT="0" distB="0" distL="0" distR="0">
            <wp:extent cx="5810250" cy="1447800"/>
            <wp:effectExtent l="0" t="0" r="0" b="0"/>
            <wp:docPr id="39" name="fig39" descr="Figure 39&#10;Capture d'écran — Sectio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39" descr="Figure 39&#10;Capture d'écran — Section 2.4"/>
                    <pic:cNvPicPr>
                      <a:picLocks noChangeAspect="1" noChangeArrowheads="1"/>
                    </pic:cNvPicPr>
                  </pic:nvPicPr>
                  <pic:blipFill>
                    <a:blip r:embed="rId40"/>
                    <a:stretch>
                      <a:fillRect/>
                    </a:stretch>
                  </pic:blipFill>
                  <pic:spPr bwMode="auto">
                    <a:xfrm>
                      <a:off x="0" y="0"/>
                      <a:ext cx="5810250" cy="14478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39 — Section 2.4</w:t>
      </w:r>
    </w:p>
    <w:p>
      <w:pPr>
        <w:pStyle w:val="Normal"/>
        <w:keepNext w:val="true"/>
        <w:spacing w:before="140" w:after="40"/>
        <w:jc w:val="center"/>
        <w:rPr/>
      </w:pPr>
      <w:r>
        <w:rPr/>
        <w:drawing>
          <wp:inline distT="0" distB="0" distL="0" distR="0">
            <wp:extent cx="5810250" cy="1228725"/>
            <wp:effectExtent l="0" t="0" r="0" b="0"/>
            <wp:docPr id="40" name="fig40" descr="Figure 40&#10;Capture d'écran — Sectio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40" descr="Figure 40&#10;Capture d'écran — Section 2.4"/>
                    <pic:cNvPicPr>
                      <a:picLocks noChangeAspect="1" noChangeArrowheads="1"/>
                    </pic:cNvPicPr>
                  </pic:nvPicPr>
                  <pic:blipFill>
                    <a:blip r:embed="rId41"/>
                    <a:stretch>
                      <a:fillRect/>
                    </a:stretch>
                  </pic:blipFill>
                  <pic:spPr bwMode="auto">
                    <a:xfrm>
                      <a:off x="0" y="0"/>
                      <a:ext cx="5810250" cy="12287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40 — Section 2.4</w:t>
      </w:r>
    </w:p>
    <w:p>
      <w:pPr>
        <w:pStyle w:val="Normal"/>
        <w:keepNext w:val="true"/>
        <w:spacing w:before="140" w:after="40"/>
        <w:jc w:val="center"/>
        <w:rPr/>
      </w:pPr>
      <w:r>
        <w:rPr/>
        <w:drawing>
          <wp:inline distT="0" distB="0" distL="0" distR="0">
            <wp:extent cx="5810250" cy="2276475"/>
            <wp:effectExtent l="0" t="0" r="0" b="0"/>
            <wp:docPr id="41" name="fig41" descr="Figure 41&#10;Capture d'écran — Sectio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41" descr="Figure 41&#10;Capture d'écran — Section 2.4"/>
                    <pic:cNvPicPr>
                      <a:picLocks noChangeAspect="1" noChangeArrowheads="1"/>
                    </pic:cNvPicPr>
                  </pic:nvPicPr>
                  <pic:blipFill>
                    <a:blip r:embed="rId42"/>
                    <a:stretch>
                      <a:fillRect/>
                    </a:stretch>
                  </pic:blipFill>
                  <pic:spPr bwMode="auto">
                    <a:xfrm>
                      <a:off x="0" y="0"/>
                      <a:ext cx="5810250" cy="22764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41 — Section 2.4</w:t>
      </w:r>
    </w:p>
    <w:p>
      <w:pPr>
        <w:pStyle w:val="Normal"/>
        <w:keepLines/>
        <w:spacing w:lineRule="auto" w:line="276" w:before="0" w:after="100"/>
        <w:rPr/>
      </w:pPr>
      <w:r>
        <w:rPr/>
        <w:t>Retirez ensuite le rôle du groupe, pour ne pas fausser la partie 3, puis vérifiez :</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admin role remove --group ops --project team-b reader</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--os-cloud admin role assignment list --names --effective --user candace</w:t>
      </w:r>
    </w:p>
    <w:p>
      <w:pPr>
        <w:pStyle w:val="Normal"/>
        <w:keepLines/>
        <w:spacing w:lineRule="auto" w:line="276" w:before="0" w:after="100"/>
        <w:rPr/>
      </w:pPr>
      <w:r>
        <w:rPr/>
        <w:t xml:space="preserve">Seul le rôle </w:t>
      </w:r>
      <w:r>
        <w:rPr>
          <w:rFonts w:eastAsia="Courier New" w:cs="Courier New" w:ascii="Courier New" w:hAnsi="Courier New"/>
          <w:color w:val="B42318"/>
          <w:sz w:val="19"/>
          <w:szCs w:val="19"/>
          <w:shd w:fill="F3F5F8" w:val="clear"/>
        </w:rPr>
        <w:t>member</w:t>
      </w:r>
      <w:r>
        <w:rPr/>
        <w:t xml:space="preserve"> sur team-a doit apparaître.</w:t>
      </w:r>
    </w:p>
    <w:p>
      <w:pPr>
        <w:pStyle w:val="Normal"/>
        <w:keepNext w:val="true"/>
        <w:spacing w:before="140" w:after="40"/>
        <w:jc w:val="center"/>
        <w:rPr/>
      </w:pPr>
      <w:r>
        <w:rPr/>
        <w:drawing>
          <wp:inline distT="0" distB="0" distL="0" distR="0">
            <wp:extent cx="5810250" cy="1085850"/>
            <wp:effectExtent l="0" t="0" r="0" b="0"/>
            <wp:docPr id="42" name="fig42" descr="Figure 42&#10;Capture d'écran — Sectio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42" descr="Figure 42&#10;Capture d'écran — Section 2.4"/>
                    <pic:cNvPicPr>
                      <a:picLocks noChangeAspect="1" noChangeArrowheads="1"/>
                    </pic:cNvPicPr>
                  </pic:nvPicPr>
                  <pic:blipFill>
                    <a:blip r:embed="rId43"/>
                    <a:stretch>
                      <a:fillRect/>
                    </a:stretch>
                  </pic:blipFill>
                  <pic:spPr bwMode="auto">
                    <a:xfrm>
                      <a:off x="0" y="0"/>
                      <a:ext cx="5810250" cy="10858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42 — Section 2.4</w:t>
      </w:r>
    </w:p>
    <w:p>
      <w:pPr>
        <w:pStyle w:val="Heading1"/>
        <w:rPr/>
      </w:pPr>
      <w:bookmarkStart w:id="16" w:name="__RefHeading___Toc1584_1376105353"/>
      <w:bookmarkEnd w:id="16"/>
      <w:r>
        <w:rPr/>
        <w:t>Partie 3 — Isolation et contrôle d'accès</w:t>
      </w:r>
    </w:p>
    <w:p>
      <w:pPr>
        <w:pStyle w:val="Normal"/>
        <w:keepLines/>
        <w:spacing w:lineRule="auto" w:line="276" w:before="0" w:after="100"/>
        <w:rPr/>
      </w:pPr>
      <w:r>
        <w:rPr/>
        <w:t>Chaque projet est un locataire (tenant) isolé : ses réseaux, VM et groupes de sécurité appartiennent au projet, et non aux utilisateurs.</w:t>
      </w:r>
    </w:p>
    <w:tbl>
      <w:tblPr>
        <w:tblW w:w="9638" w:type="dxa"/>
        <w:jc w:val="left"/>
        <w:tblInd w:w="0" w:type="dxa"/>
        <w:tblLayout w:type="fixed"/>
        <w:tblCellMar>
          <w:top w:w="110" w:type="dxa"/>
          <w:left w:w="200" w:type="dxa"/>
          <w:bottom w:w="90" w:type="dxa"/>
          <w:right w:w="160" w:type="dxa"/>
        </w:tblCellMar>
      </w:tblPr>
      <w:tblGrid>
        <w:gridCol w:w="9638"/>
      </w:tblGrid>
      <w:tr>
        <w:trPr>
          <w:cantSplit w:val="true"/>
        </w:trPr>
        <w:tc>
          <w:tcPr>
            <w:tcW w:w="9638" w:type="dxa"/>
            <w:tcBorders>
              <w:left w:val="single" w:sz="24" w:space="0" w:color="0B7A70"/>
            </w:tcBorders>
            <w:shd w:color="auto" w:fill="E8F6F4" w:val="clear"/>
          </w:tcPr>
          <w:p>
            <w:pPr>
              <w:pStyle w:val="Normal"/>
              <w:keepNext w:val="true"/>
              <w:spacing w:before="0" w:after="60"/>
              <w:rPr/>
            </w:pPr>
            <w:r>
              <w:rPr>
                <w:b/>
                <w:bCs/>
                <w:color w:val="0B7A70"/>
                <w:sz w:val="21"/>
                <w:szCs w:val="21"/>
              </w:rPr>
              <w:t>Le modèle RBAC</w:t>
            </w:r>
          </w:p>
          <w:p>
            <w:pPr>
              <w:pStyle w:val="Normal"/>
              <w:keepLines/>
              <w:spacing w:lineRule="auto" w:line="276" w:before="0" w:after="60"/>
              <w:rPr/>
            </w:pPr>
            <w:r>
              <w:rPr>
                <w:sz w:val="20"/>
                <w:szCs w:val="20"/>
              </w:rPr>
              <w:t>OpenStack applique un contrôle d’accès basé sur les rôles (Role-Based Access Control, RBAC) : on n’attribue pas des droits directement à un utilisateur, mais un rôle sur un projet. Deux contrôles s’enchaînent à chaque requête :</w:t>
            </w:r>
          </w:p>
          <w:p>
            <w:pPr>
              <w:pStyle w:val="ListParagraph"/>
              <w:keepLines/>
              <w:numPr>
                <w:ilvl w:val="0"/>
                <w:numId w:val="7"/>
              </w:numPr>
              <w:spacing w:lineRule="auto" w:line="271" w:before="0" w:after="60"/>
              <w:rPr/>
            </w:pPr>
            <w:r>
              <w:rPr>
                <w:sz w:val="20"/>
                <w:szCs w:val="20"/>
              </w:rPr>
              <w:t xml:space="preserve">Le projet du jeton détermine ce que l’utilisateur voit : sans rôle sur un projet, ses ressources sont invisibles (404). Seules les ressources explicitement partagées, comme le réseau </w:t>
            </w:r>
            <w:r>
              <w:rPr>
                <w:rFonts w:eastAsia="Courier New" w:cs="Courier New" w:ascii="Courier New" w:hAnsi="Courier New"/>
                <w:color w:val="B42318"/>
                <w:sz w:val="18"/>
                <w:szCs w:val="18"/>
                <w:shd w:fill="F3F5F8" w:val="clear"/>
              </w:rPr>
              <w:t>public</w:t>
            </w:r>
            <w:r>
              <w:rPr>
                <w:sz w:val="20"/>
                <w:szCs w:val="20"/>
              </w:rPr>
              <w:t>, sont visibles par tous.</w:t>
            </w:r>
          </w:p>
          <w:p>
            <w:pPr>
              <w:pStyle w:val="ListParagraph"/>
              <w:keepLines/>
              <w:numPr>
                <w:ilvl w:val="0"/>
                <w:numId w:val="3"/>
              </w:numPr>
              <w:spacing w:lineRule="auto" w:line="271" w:before="0" w:after="60"/>
              <w:rPr/>
            </w:pPr>
            <w:r>
              <w:rPr>
                <w:sz w:val="20"/>
                <w:szCs w:val="20"/>
              </w:rPr>
              <w:t xml:space="preserve">Le rôle détermine ce qu’il peut faire : un </w:t>
            </w:r>
            <w:r>
              <w:rPr>
                <w:rFonts w:eastAsia="Courier New" w:cs="Courier New" w:ascii="Courier New" w:hAnsi="Courier New"/>
                <w:color w:val="B42318"/>
                <w:sz w:val="18"/>
                <w:szCs w:val="18"/>
                <w:shd w:fill="F3F5F8" w:val="clear"/>
              </w:rPr>
              <w:t>reader</w:t>
            </w:r>
            <w:r>
              <w:rPr>
                <w:sz w:val="20"/>
                <w:szCs w:val="20"/>
              </w:rPr>
              <w:t xml:space="preserve"> lit, un </w:t>
            </w:r>
            <w:r>
              <w:rPr>
                <w:rFonts w:eastAsia="Courier New" w:cs="Courier New" w:ascii="Courier New" w:hAnsi="Courier New"/>
                <w:color w:val="B42318"/>
                <w:sz w:val="18"/>
                <w:szCs w:val="18"/>
                <w:shd w:fill="F3F5F8" w:val="clear"/>
              </w:rPr>
              <w:t>member</w:t>
            </w:r>
            <w:r>
              <w:rPr>
                <w:sz w:val="20"/>
                <w:szCs w:val="20"/>
              </w:rPr>
              <w:t xml:space="preserve"> crée et modifie, un </w:t>
            </w:r>
            <w:r>
              <w:rPr>
                <w:rFonts w:eastAsia="Courier New" w:cs="Courier New" w:ascii="Courier New" w:hAnsi="Courier New"/>
                <w:color w:val="B42318"/>
                <w:sz w:val="18"/>
                <w:szCs w:val="18"/>
                <w:shd w:fill="F3F5F8" w:val="clear"/>
              </w:rPr>
              <w:t>admin</w:t>
            </w:r>
            <w:r>
              <w:rPr>
                <w:sz w:val="20"/>
                <w:szCs w:val="20"/>
              </w:rPr>
              <w:t xml:space="preserve"> administre. Une action non autorisée par le rôle est refusée (403).</w:t>
            </w:r>
          </w:p>
        </w:tc>
      </w:tr>
    </w:tbl>
    <w:p>
      <w:pPr>
        <w:pStyle w:val="Normal"/>
        <w:spacing w:before="0" w:after="120"/>
        <w:rPr/>
      </w:pPr>
      <w:r>
        <w:rPr/>
      </w:r>
    </w:p>
    <w:p>
      <w:pPr>
        <w:pStyle w:val="Normal"/>
        <w:keepLines/>
        <w:spacing w:lineRule="auto" w:line="276" w:before="0" w:after="100"/>
        <w:rPr/>
      </w:pPr>
      <w:r>
        <w:rPr/>
        <w:t>Pour chaque test, notez la commande, le résultat attendu, le résultat obtenu et, en cas d’erreur, le code HTTP.</w:t>
      </w:r>
    </w:p>
    <w:p>
      <w:pPr>
        <w:pStyle w:val="Normal"/>
        <w:keepLines/>
        <w:spacing w:lineRule="auto" w:line="276" w:before="0" w:after="100"/>
        <w:rPr/>
      </w:pPr>
      <w:r>
        <w:rPr/>
        <w:t xml:space="preserve">L’identité utilisée est indiquée au début de chaque bloc ([admin], [candace], [baron], [ian]). Choisissez-la avec </w:t>
      </w:r>
      <w:r>
        <w:rPr>
          <w:rFonts w:eastAsia="Courier New" w:cs="Courier New" w:ascii="Courier New" w:hAnsi="Courier New"/>
          <w:color w:val="B42318"/>
          <w:sz w:val="19"/>
          <w:szCs w:val="19"/>
          <w:shd w:fill="F3F5F8" w:val="clear"/>
        </w:rPr>
        <w:t>export OS_CLOUD=&lt;profil&gt;</w:t>
      </w:r>
      <w:r>
        <w:rPr/>
        <w:t xml:space="preserve">, ou ajoutez </w:t>
      </w:r>
      <w:r>
        <w:rPr>
          <w:rFonts w:eastAsia="Courier New" w:cs="Courier New" w:ascii="Courier New" w:hAnsi="Courier New"/>
          <w:color w:val="B42318"/>
          <w:sz w:val="19"/>
          <w:szCs w:val="19"/>
          <w:shd w:fill="F3F5F8" w:val="clear"/>
        </w:rPr>
        <w:t>--os-cloud &lt;profil&gt;</w:t>
      </w:r>
      <w:r>
        <w:rPr/>
        <w:t xml:space="preserve"> à la commande.</w:t>
      </w:r>
    </w:p>
    <w:p>
      <w:pPr>
        <w:pStyle w:val="Heading2"/>
        <w:rPr/>
      </w:pPr>
      <w:bookmarkStart w:id="17" w:name="__RefHeading___Toc1586_1376105353"/>
      <w:bookmarkEnd w:id="17"/>
      <w:r>
        <w:rPr/>
        <w:t>3.1 Candace déploie l'infrastructure de l'équipe A</w:t>
      </w:r>
    </w:p>
    <w:p>
      <w:pPr>
        <w:pStyle w:val="Normal"/>
        <w:keepNext w:val="true"/>
        <w:pBdr>
          <w:left w:val="single" w:sz="18" w:space="8" w:color="0F9D8F"/>
        </w:pBdr>
        <w:shd w:val="clear" w:color="auto" w:fill="E8F6F4"/>
        <w:spacing w:before="120" w:after="80"/>
        <w:ind w:left="200"/>
        <w:rPr/>
      </w:pPr>
      <w:r>
        <w:rPr>
          <w:color w:val="6B7280"/>
          <w:sz w:val="20"/>
          <w:szCs w:val="20"/>
        </w:rPr>
        <w:t xml:space="preserve">Identité utilisée : </w:t>
      </w:r>
      <w:r>
        <w:rPr>
          <w:rFonts w:eastAsia="Courier New" w:cs="Courier New" w:ascii="Courier New" w:hAnsi="Courier New"/>
          <w:b/>
          <w:bCs/>
          <w:color w:val="0B7A70"/>
          <w:sz w:val="20"/>
          <w:szCs w:val="20"/>
        </w:rPr>
        <w:t>candace</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export OS_CLOUD=candace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network create net-candace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subnet create --network net-candace --subnet-range 10.10.1.0/24 --dns-nameserver 8.8.8.8 subnet-candace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router create --external-gateway public router-candace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router add subnet router-candace subnet-candace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security group rule create --protocol icmp default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security group rule create --protocol tcp --dst-port 22 default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IMG=$(openstack image list -f value -c Name | grep -i cirros | head -1)</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server create --flavor m1.tiny --image "$IMG" --network net-candace --wait vm-candace</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server list</w:t>
      </w:r>
    </w:p>
    <w:p>
      <w:pPr>
        <w:pStyle w:val="Normal"/>
        <w:keepNext w:val="true"/>
        <w:spacing w:before="140" w:after="40"/>
        <w:jc w:val="center"/>
        <w:rPr/>
      </w:pPr>
      <w:r>
        <w:rPr/>
        <w:drawing>
          <wp:inline distT="0" distB="0" distL="0" distR="0">
            <wp:extent cx="5810250" cy="4048125"/>
            <wp:effectExtent l="0" t="0" r="0" b="0"/>
            <wp:docPr id="43" name="fig43" descr="Figure 43&#10;Capture d'écran — Sec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43" descr="Figure 43&#10;Capture d'écran — Section 3.1"/>
                    <pic:cNvPicPr>
                      <a:picLocks noChangeAspect="1" noChangeArrowheads="1"/>
                    </pic:cNvPicPr>
                  </pic:nvPicPr>
                  <pic:blipFill>
                    <a:blip r:embed="rId44"/>
                    <a:stretch>
                      <a:fillRect/>
                    </a:stretch>
                  </pic:blipFill>
                  <pic:spPr bwMode="auto">
                    <a:xfrm>
                      <a:off x="0" y="0"/>
                      <a:ext cx="5810250" cy="40481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43 — Section 3.1</w:t>
      </w:r>
    </w:p>
    <w:p>
      <w:pPr>
        <w:pStyle w:val="Normal"/>
        <w:keepNext w:val="true"/>
        <w:spacing w:before="140" w:after="40"/>
        <w:jc w:val="center"/>
        <w:rPr/>
      </w:pPr>
      <w:r>
        <w:rPr/>
        <w:drawing>
          <wp:inline distT="0" distB="0" distL="0" distR="0">
            <wp:extent cx="5810250" cy="3276600"/>
            <wp:effectExtent l="0" t="0" r="0" b="0"/>
            <wp:docPr id="44" name="fig44" descr="Figure 44&#10;Capture d'écran — Sec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44" descr="Figure 44&#10;Capture d'écran — Section 3.1"/>
                    <pic:cNvPicPr>
                      <a:picLocks noChangeAspect="1" noChangeArrowheads="1"/>
                    </pic:cNvPicPr>
                  </pic:nvPicPr>
                  <pic:blipFill>
                    <a:blip r:embed="rId45"/>
                    <a:stretch>
                      <a:fillRect/>
                    </a:stretch>
                  </pic:blipFill>
                  <pic:spPr bwMode="auto">
                    <a:xfrm>
                      <a:off x="0" y="0"/>
                      <a:ext cx="5810250" cy="32766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44 — Section 3.1</w:t>
      </w:r>
    </w:p>
    <w:p>
      <w:pPr>
        <w:pStyle w:val="Normal"/>
        <w:keepNext w:val="true"/>
        <w:spacing w:before="140" w:after="40"/>
        <w:jc w:val="center"/>
        <w:rPr/>
      </w:pPr>
      <w:r>
        <w:rPr/>
        <w:drawing>
          <wp:inline distT="0" distB="0" distL="0" distR="0">
            <wp:extent cx="5810250" cy="4057650"/>
            <wp:effectExtent l="0" t="0" r="0" b="0"/>
            <wp:docPr id="45" name="fig45" descr="Figure 45&#10;Capture d'écran — Sec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45" descr="Figure 45&#10;Capture d'écran — Section 3.1"/>
                    <pic:cNvPicPr>
                      <a:picLocks noChangeAspect="1" noChangeArrowheads="1"/>
                    </pic:cNvPicPr>
                  </pic:nvPicPr>
                  <pic:blipFill>
                    <a:blip r:embed="rId46"/>
                    <a:stretch>
                      <a:fillRect/>
                    </a:stretch>
                  </pic:blipFill>
                  <pic:spPr bwMode="auto">
                    <a:xfrm>
                      <a:off x="0" y="0"/>
                      <a:ext cx="5810250" cy="40576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45 — Section 3.1</w:t>
      </w:r>
    </w:p>
    <w:p>
      <w:pPr>
        <w:pStyle w:val="Normal"/>
        <w:keepNext w:val="true"/>
        <w:spacing w:before="140" w:after="40"/>
        <w:jc w:val="center"/>
        <w:rPr/>
      </w:pPr>
      <w:r>
        <w:rPr/>
        <w:drawing>
          <wp:inline distT="0" distB="0" distL="0" distR="0">
            <wp:extent cx="5810250" cy="257175"/>
            <wp:effectExtent l="0" t="0" r="0" b="0"/>
            <wp:docPr id="46" name="fig46" descr="Figure 46&#10;Capture d'écran — Sec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46" descr="Figure 46&#10;Capture d'écran — Section 3.1"/>
                    <pic:cNvPicPr>
                      <a:picLocks noChangeAspect="1" noChangeArrowheads="1"/>
                    </pic:cNvPicPr>
                  </pic:nvPicPr>
                  <pic:blipFill>
                    <a:blip r:embed="rId47"/>
                    <a:stretch>
                      <a:fillRect/>
                    </a:stretch>
                  </pic:blipFill>
                  <pic:spPr bwMode="auto">
                    <a:xfrm>
                      <a:off x="0" y="0"/>
                      <a:ext cx="5810250" cy="2571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46 — Section 3.1</w:t>
      </w:r>
    </w:p>
    <w:p>
      <w:pPr>
        <w:pStyle w:val="Normal"/>
        <w:keepNext w:val="true"/>
        <w:spacing w:before="140" w:after="40"/>
        <w:jc w:val="center"/>
        <w:rPr/>
      </w:pPr>
      <w:r>
        <w:rPr/>
        <w:drawing>
          <wp:inline distT="0" distB="0" distL="0" distR="0">
            <wp:extent cx="5810250" cy="3476625"/>
            <wp:effectExtent l="0" t="0" r="0" b="0"/>
            <wp:docPr id="47" name="fig47" descr="Figure 47&#10;Capture d'écran — Sec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47" descr="Figure 47&#10;Capture d'écran — Section 3.1"/>
                    <pic:cNvPicPr>
                      <a:picLocks noChangeAspect="1" noChangeArrowheads="1"/>
                    </pic:cNvPicPr>
                  </pic:nvPicPr>
                  <pic:blipFill>
                    <a:blip r:embed="rId48"/>
                    <a:stretch>
                      <a:fillRect/>
                    </a:stretch>
                  </pic:blipFill>
                  <pic:spPr bwMode="auto">
                    <a:xfrm>
                      <a:off x="0" y="0"/>
                      <a:ext cx="5810250" cy="34766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47 — Section 3.1</w:t>
      </w:r>
    </w:p>
    <w:p>
      <w:pPr>
        <w:pStyle w:val="Normal"/>
        <w:keepNext w:val="true"/>
        <w:spacing w:before="140" w:after="40"/>
        <w:jc w:val="center"/>
        <w:rPr/>
      </w:pPr>
      <w:r>
        <w:rPr/>
        <w:drawing>
          <wp:inline distT="0" distB="0" distL="0" distR="0">
            <wp:extent cx="5810250" cy="3952875"/>
            <wp:effectExtent l="0" t="0" r="0" b="0"/>
            <wp:docPr id="48" name="fig48" descr="Figure 48&#10;Capture d'écran — Sec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48" descr="Figure 48&#10;Capture d'écran — Section 3.1"/>
                    <pic:cNvPicPr>
                      <a:picLocks noChangeAspect="1" noChangeArrowheads="1"/>
                    </pic:cNvPicPr>
                  </pic:nvPicPr>
                  <pic:blipFill>
                    <a:blip r:embed="rId49"/>
                    <a:stretch>
                      <a:fillRect/>
                    </a:stretch>
                  </pic:blipFill>
                  <pic:spPr bwMode="auto">
                    <a:xfrm>
                      <a:off x="0" y="0"/>
                      <a:ext cx="5810250" cy="39528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48 — Section 3.1</w:t>
      </w:r>
    </w:p>
    <w:p>
      <w:pPr>
        <w:pStyle w:val="Normal"/>
        <w:keepNext w:val="true"/>
        <w:spacing w:before="140" w:after="40"/>
        <w:jc w:val="center"/>
        <w:rPr/>
      </w:pPr>
      <w:r>
        <w:rPr/>
        <w:drawing>
          <wp:inline distT="0" distB="0" distL="0" distR="0">
            <wp:extent cx="5810250" cy="933450"/>
            <wp:effectExtent l="0" t="0" r="0" b="0"/>
            <wp:docPr id="49" name="fig49" descr="Figure 49&#10;Capture d'écran — Sec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ig49" descr="Figure 49&#10;Capture d'écran — Section 3.1"/>
                    <pic:cNvPicPr>
                      <a:picLocks noChangeAspect="1" noChangeArrowheads="1"/>
                    </pic:cNvPicPr>
                  </pic:nvPicPr>
                  <pic:blipFill>
                    <a:blip r:embed="rId50"/>
                    <a:stretch>
                      <a:fillRect/>
                    </a:stretch>
                  </pic:blipFill>
                  <pic:spPr bwMode="auto">
                    <a:xfrm>
                      <a:off x="0" y="0"/>
                      <a:ext cx="5810250" cy="9334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49 — Section 3.1</w:t>
      </w:r>
    </w:p>
    <w:p>
      <w:pPr>
        <w:pStyle w:val="Heading2"/>
        <w:rPr/>
      </w:pPr>
      <w:bookmarkStart w:id="18" w:name="__RefHeading___Toc1588_1376105353"/>
      <w:bookmarkEnd w:id="18"/>
      <w:r>
        <w:rPr/>
        <w:t>3.2 Baron tente d'accéder aux ressources de l'équipe A</w:t>
      </w:r>
    </w:p>
    <w:p>
      <w:pPr>
        <w:pStyle w:val="Normal"/>
        <w:keepNext w:val="true"/>
        <w:pBdr>
          <w:left w:val="single" w:sz="18" w:space="8" w:color="0F9D8F"/>
        </w:pBdr>
        <w:shd w:val="clear" w:color="auto" w:fill="E8F6F4"/>
        <w:spacing w:before="120" w:after="80"/>
        <w:ind w:left="200"/>
        <w:rPr/>
      </w:pPr>
      <w:r>
        <w:rPr>
          <w:color w:val="6B7280"/>
          <w:sz w:val="20"/>
          <w:szCs w:val="20"/>
        </w:rPr>
        <w:t xml:space="preserve">Identité utilisée : </w:t>
      </w:r>
      <w:r>
        <w:rPr>
          <w:rFonts w:eastAsia="Courier New" w:cs="Courier New" w:ascii="Courier New" w:hAnsi="Courier New"/>
          <w:b/>
          <w:bCs/>
          <w:color w:val="0B7A70"/>
          <w:sz w:val="20"/>
          <w:szCs w:val="20"/>
        </w:rPr>
        <w:t>baron</w:t>
      </w:r>
    </w:p>
    <w:p>
      <w:pPr>
        <w:pStyle w:val="Normal"/>
        <w:keepLines/>
        <w:spacing w:lineRule="auto" w:line="276" w:before="0" w:after="100"/>
        <w:rPr/>
      </w:pPr>
      <w:r>
        <w:rPr/>
        <w:t xml:space="preserve">Notez d’abord l’ID de </w:t>
      </w:r>
      <w:r>
        <w:rPr>
          <w:rFonts w:eastAsia="Courier New" w:cs="Courier New" w:ascii="Courier New" w:hAnsi="Courier New"/>
          <w:color w:val="B42318"/>
          <w:sz w:val="19"/>
          <w:szCs w:val="19"/>
          <w:shd w:fill="F3F5F8" w:val="clear"/>
        </w:rPr>
        <w:t>vm-candace</w:t>
      </w:r>
      <w:r>
        <w:rPr/>
        <w:t xml:space="preserve"> et de </w:t>
      </w:r>
      <w:r>
        <w:rPr>
          <w:rFonts w:eastAsia="Courier New" w:cs="Courier New" w:ascii="Courier New" w:hAnsi="Courier New"/>
          <w:color w:val="B42318"/>
          <w:sz w:val="19"/>
          <w:szCs w:val="19"/>
          <w:shd w:fill="F3F5F8" w:val="clear"/>
        </w:rPr>
        <w:t>net-candace</w:t>
      </w:r>
      <w:r>
        <w:rPr/>
        <w:t xml:space="preserve"> (affichés par candace) et remplacez-le dans les commandes suivantes.</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export OS_CLOUD=baron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server list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network list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server show &lt;ID_vm-candace&gt;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server delete &lt;ID_vm-candace&gt;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network show &lt;ID_net-candace&gt;</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server create --flavor m1.tiny --image "$IMG" --network &lt;ID_net-candace&gt; vm-intrus</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Q8  </w:t>
      </w:r>
      <w:r>
        <w:rPr>
          <w:b w:val="false"/>
          <w:bCs w:val="false"/>
          <w:color w:val="0B2545"/>
        </w:rPr>
        <w:t>Baron reçoit-il « accès refusé » (403) ou « introuvable » (404) ? Pourquoi est-il préférable, du point de vue sécurité, de répondre 404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Baron reçoit un code 404 (« introuvable ») et non 403. Il appartient à team-b et n’a aucun rôle sur team-a. Les ressources de team-a sont donc invisibles pour lui. Le 404 est préférable du point de vue de la sécurité car il ne révèle pas à l’utilisateur qu’une ressource existe dans un autre projet.</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Q9  </w:t>
      </w:r>
      <w:r>
        <w:rPr>
          <w:b w:val="false"/>
          <w:bCs w:val="false"/>
          <w:color w:val="0B2545"/>
        </w:rPr>
        <w:t>Quel réseau Baron voit-il alors qu’il ne l’a pas créé ? Quelle propriété de ce réseau l’explique (</w:t>
      </w:r>
      <w:r>
        <w:rPr>
          <w:rFonts w:eastAsia="Courier New" w:cs="Courier New" w:ascii="Courier New" w:hAnsi="Courier New"/>
          <w:b w:val="false"/>
          <w:bCs w:val="false"/>
          <w:color w:val="B42318"/>
          <w:sz w:val="19"/>
          <w:szCs w:val="19"/>
          <w:shd w:fill="F3F5F8" w:val="clear"/>
        </w:rPr>
        <w:t>openstack network show public</w:t>
      </w:r>
      <w:r>
        <w:rPr>
          <w:b w:val="false"/>
          <w:bCs w:val="false"/>
          <w:color w:val="0B2545"/>
        </w:rPr>
        <w:t>)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 xml:space="preserve">Baron voit le réseau </w:t>
      </w:r>
      <w:r>
        <w:rPr>
          <w:b/>
          <w:bCs/>
        </w:rPr>
        <w:t>public</w:t>
      </w:r>
      <w:r>
        <w:rPr/>
        <w:t>, même s’il ne l’a pas créé, car ce réseau est partagé (</w:t>
      </w:r>
      <w:r>
        <w:rPr>
          <w:b/>
          <w:bCs/>
        </w:rPr>
        <w:t>shared=True</w:t>
      </w:r>
      <w:r>
        <w:rPr/>
        <w:t>). Il constitue une ressource explicitement partagée entre les projets, contrairement aux réseaux privés comme net-candace.</w:t>
      </w:r>
    </w:p>
    <w:p>
      <w:pPr>
        <w:pStyle w:val="Normal"/>
        <w:keepNext w:val="true"/>
        <w:spacing w:before="160" w:after="60"/>
        <w:rPr/>
      </w:pPr>
      <w:r>
        <w:rPr>
          <w:b/>
          <w:bCs/>
          <w:color w:val="0B2545"/>
        </w:rPr>
        <w:t>Tester avec Candace</w:t>
      </w:r>
    </w:p>
    <w:p>
      <w:pPr>
        <w:pStyle w:val="Normal"/>
        <w:keepNext w:val="true"/>
        <w:spacing w:before="140" w:after="40"/>
        <w:jc w:val="center"/>
        <w:rPr/>
      </w:pPr>
      <w:r>
        <w:rPr/>
        <w:drawing>
          <wp:inline distT="0" distB="0" distL="0" distR="0">
            <wp:extent cx="5810250" cy="2019300"/>
            <wp:effectExtent l="0" t="0" r="0" b="0"/>
            <wp:docPr id="50" name="fig50" descr="Figure 50&#10;Capture d'écran — Sectio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g50" descr="Figure 50&#10;Capture d'écran — Section 3.2"/>
                    <pic:cNvPicPr>
                      <a:picLocks noChangeAspect="1" noChangeArrowheads="1"/>
                    </pic:cNvPicPr>
                  </pic:nvPicPr>
                  <pic:blipFill>
                    <a:blip r:embed="rId51"/>
                    <a:stretch>
                      <a:fillRect/>
                    </a:stretch>
                  </pic:blipFill>
                  <pic:spPr bwMode="auto">
                    <a:xfrm>
                      <a:off x="0" y="0"/>
                      <a:ext cx="5810250" cy="20193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50 — Section 3.2</w:t>
      </w:r>
    </w:p>
    <w:p>
      <w:pPr>
        <w:pStyle w:val="Normal"/>
        <w:keepNext w:val="true"/>
        <w:spacing w:before="140" w:after="40"/>
        <w:jc w:val="center"/>
        <w:rPr/>
      </w:pPr>
      <w:r>
        <w:rPr/>
        <w:drawing>
          <wp:inline distT="0" distB="0" distL="0" distR="0">
            <wp:extent cx="5810250" cy="1457325"/>
            <wp:effectExtent l="0" t="0" r="0" b="0"/>
            <wp:docPr id="51" name="fig51" descr="Figure 51&#10;Capture d'écran — Sectio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51" descr="Figure 51&#10;Capture d'écran — Section 3.2"/>
                    <pic:cNvPicPr>
                      <a:picLocks noChangeAspect="1" noChangeArrowheads="1"/>
                    </pic:cNvPicPr>
                  </pic:nvPicPr>
                  <pic:blipFill>
                    <a:blip r:embed="rId52"/>
                    <a:stretch>
                      <a:fillRect/>
                    </a:stretch>
                  </pic:blipFill>
                  <pic:spPr bwMode="auto">
                    <a:xfrm>
                      <a:off x="0" y="0"/>
                      <a:ext cx="5810250" cy="14573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51 — Section 3.2</w:t>
      </w:r>
    </w:p>
    <w:p>
      <w:pPr>
        <w:pStyle w:val="Normal"/>
        <w:keepNext w:val="true"/>
        <w:spacing w:before="140" w:after="40"/>
        <w:jc w:val="center"/>
        <w:rPr/>
      </w:pPr>
      <w:r>
        <w:rPr/>
        <w:drawing>
          <wp:inline distT="0" distB="0" distL="0" distR="0">
            <wp:extent cx="5810250" cy="800100"/>
            <wp:effectExtent l="0" t="0" r="0" b="0"/>
            <wp:docPr id="52" name="fig52" descr="Figure 52&#10;Capture d'écran — Sectio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g52" descr="Figure 52&#10;Capture d'écran — Section 3.2"/>
                    <pic:cNvPicPr>
                      <a:picLocks noChangeAspect="1" noChangeArrowheads="1"/>
                    </pic:cNvPicPr>
                  </pic:nvPicPr>
                  <pic:blipFill>
                    <a:blip r:embed="rId53"/>
                    <a:stretch>
                      <a:fillRect/>
                    </a:stretch>
                  </pic:blipFill>
                  <pic:spPr bwMode="auto">
                    <a:xfrm>
                      <a:off x="0" y="0"/>
                      <a:ext cx="5810250" cy="8001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52 — Section 3.2</w:t>
      </w:r>
    </w:p>
    <w:p>
      <w:pPr>
        <w:pStyle w:val="Normal"/>
        <w:keepNext w:val="true"/>
        <w:spacing w:before="140" w:after="40"/>
        <w:jc w:val="center"/>
        <w:rPr/>
      </w:pPr>
      <w:r>
        <w:rPr/>
        <w:drawing>
          <wp:inline distT="0" distB="0" distL="0" distR="0">
            <wp:extent cx="5810250" cy="390525"/>
            <wp:effectExtent l="0" t="0" r="0" b="0"/>
            <wp:docPr id="53" name="fig53" descr="Figure 53&#10;Capture d'écran — Sectio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53" descr="Figure 53&#10;Capture d'écran — Section 3.2"/>
                    <pic:cNvPicPr>
                      <a:picLocks noChangeAspect="1" noChangeArrowheads="1"/>
                    </pic:cNvPicPr>
                  </pic:nvPicPr>
                  <pic:blipFill>
                    <a:blip r:embed="rId54"/>
                    <a:stretch>
                      <a:fillRect/>
                    </a:stretch>
                  </pic:blipFill>
                  <pic:spPr bwMode="auto">
                    <a:xfrm>
                      <a:off x="0" y="0"/>
                      <a:ext cx="5810250" cy="3905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53 — Section 3.2</w:t>
      </w:r>
    </w:p>
    <w:p>
      <w:pPr>
        <w:pStyle w:val="Normal"/>
        <w:keepNext w:val="true"/>
        <w:spacing w:before="140" w:after="40"/>
        <w:jc w:val="center"/>
        <w:rPr/>
      </w:pPr>
      <w:r>
        <w:rPr/>
        <w:drawing>
          <wp:inline distT="0" distB="0" distL="0" distR="0">
            <wp:extent cx="5810250" cy="590550"/>
            <wp:effectExtent l="0" t="0" r="0" b="0"/>
            <wp:docPr id="54" name="fig54" descr="Figure 54&#10;Capture d'écran — Sectio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54" descr="Figure 54&#10;Capture d'écran — Section 3.2"/>
                    <pic:cNvPicPr>
                      <a:picLocks noChangeAspect="1" noChangeArrowheads="1"/>
                    </pic:cNvPicPr>
                  </pic:nvPicPr>
                  <pic:blipFill>
                    <a:blip r:embed="rId55"/>
                    <a:stretch>
                      <a:fillRect/>
                    </a:stretch>
                  </pic:blipFill>
                  <pic:spPr bwMode="auto">
                    <a:xfrm>
                      <a:off x="0" y="0"/>
                      <a:ext cx="5810250" cy="5905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54 — Section 3.2</w:t>
      </w:r>
    </w:p>
    <w:p>
      <w:pPr>
        <w:pStyle w:val="Heading2"/>
        <w:rPr/>
      </w:pPr>
      <w:bookmarkStart w:id="19" w:name="__RefHeading___Toc1590_1376105353"/>
      <w:bookmarkEnd w:id="19"/>
      <w:r>
        <w:rPr/>
        <w:t>3.3 Ian, lecteur de l'équipe A</w:t>
      </w:r>
    </w:p>
    <w:p>
      <w:pPr>
        <w:pStyle w:val="Normal"/>
        <w:keepNext w:val="true"/>
        <w:pBdr>
          <w:left w:val="single" w:sz="18" w:space="8" w:color="0F9D8F"/>
        </w:pBdr>
        <w:shd w:val="clear" w:color="auto" w:fill="E8F6F4"/>
        <w:spacing w:before="120" w:after="80"/>
        <w:ind w:left="200"/>
        <w:rPr/>
      </w:pPr>
      <w:r>
        <w:rPr>
          <w:color w:val="6B7280"/>
          <w:sz w:val="20"/>
          <w:szCs w:val="20"/>
        </w:rPr>
        <w:t xml:space="preserve">Identité utilisée : </w:t>
      </w:r>
      <w:r>
        <w:rPr>
          <w:rFonts w:eastAsia="Courier New" w:cs="Courier New" w:ascii="Courier New" w:hAnsi="Courier New"/>
          <w:b/>
          <w:bCs/>
          <w:color w:val="0B7A70"/>
          <w:sz w:val="20"/>
          <w:szCs w:val="20"/>
        </w:rPr>
        <w:t>ian</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export OS_CLOUD=ian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server list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server show vm-candace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server stop vm-candace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server create --flavor m1.tiny --image "$IMG" --network net-candace vm-ian</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network create net-ian</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Q10  </w:t>
      </w:r>
      <w:r>
        <w:rPr>
          <w:b w:val="false"/>
          <w:bCs w:val="false"/>
          <w:color w:val="0B2545"/>
        </w:rPr>
        <w:t>Quelles actions réussissent pour ian, et lesquelles échouent ? Relevez le message d’erreur obtenu. Comparez avec le code obtenu par baron en Q8 : pourquoi ian reçoit-il un refus (403) et non « introuvable » (404) ?</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 xml:space="preserve">Ian a le rôle </w:t>
      </w:r>
      <w:r>
        <w:rPr>
          <w:rFonts w:eastAsia="Courier New" w:cs="Courier New" w:ascii="Courier New" w:hAnsi="Courier New"/>
          <w:b/>
          <w:bCs/>
          <w:color w:val="B42318"/>
          <w:sz w:val="19"/>
          <w:szCs w:val="19"/>
          <w:shd w:fill="F3F5F8" w:val="clear"/>
        </w:rPr>
        <w:t>reader</w:t>
      </w:r>
      <w:r>
        <w:rPr>
          <w:b/>
          <w:bCs/>
        </w:rPr>
        <w:t xml:space="preserve"> sur </w:t>
      </w:r>
      <w:r>
        <w:rPr>
          <w:rFonts w:eastAsia="Courier New" w:cs="Courier New" w:ascii="Courier New" w:hAnsi="Courier New"/>
          <w:b/>
          <w:bCs/>
          <w:color w:val="B42318"/>
          <w:sz w:val="19"/>
          <w:szCs w:val="19"/>
          <w:shd w:fill="F3F5F8" w:val="clear"/>
        </w:rPr>
        <w:t>team-a</w:t>
      </w:r>
      <w:r>
        <w:rPr/>
        <w:t>. Or, dans le TP :</w:t>
      </w:r>
    </w:p>
    <w:p>
      <w:pPr>
        <w:pStyle w:val="ListParagraph"/>
        <w:keepLines/>
        <w:numPr>
          <w:ilvl w:val="0"/>
          <w:numId w:val="1"/>
        </w:numPr>
        <w:spacing w:lineRule="auto" w:line="271" w:before="0" w:after="60"/>
        <w:rPr/>
      </w:pPr>
      <w:r>
        <w:rPr>
          <w:rFonts w:eastAsia="Courier New" w:cs="Courier New" w:ascii="Courier New" w:hAnsi="Courier New"/>
          <w:color w:val="B42318"/>
          <w:sz w:val="19"/>
          <w:szCs w:val="19"/>
          <w:shd w:fill="F3F5F8" w:val="clear"/>
        </w:rPr>
        <w:t>reader</w:t>
      </w:r>
      <w:r>
        <w:rPr/>
        <w:t xml:space="preserve"> → </w:t>
      </w:r>
      <w:r>
        <w:rPr>
          <w:b/>
          <w:bCs/>
        </w:rPr>
        <w:t>consulter</w:t>
      </w:r>
    </w:p>
    <w:p>
      <w:pPr>
        <w:pStyle w:val="ListParagraph"/>
        <w:keepLines/>
        <w:numPr>
          <w:ilvl w:val="0"/>
          <w:numId w:val="1"/>
        </w:numPr>
        <w:spacing w:lineRule="auto" w:line="271" w:before="0" w:after="60"/>
        <w:rPr/>
      </w:pPr>
      <w:r>
        <w:rPr>
          <w:rFonts w:eastAsia="Courier New" w:cs="Courier New" w:ascii="Courier New" w:hAnsi="Courier New"/>
          <w:color w:val="B42318"/>
          <w:sz w:val="19"/>
          <w:szCs w:val="19"/>
          <w:shd w:fill="F3F5F8" w:val="clear"/>
        </w:rPr>
        <w:t>member</w:t>
      </w:r>
      <w:r>
        <w:rPr/>
        <w:t xml:space="preserve"> → </w:t>
      </w:r>
      <w:r>
        <w:rPr>
          <w:b/>
          <w:bCs/>
        </w:rPr>
        <w:t>créer et modifier</w:t>
      </w:r>
    </w:p>
    <w:p>
      <w:pPr>
        <w:pStyle w:val="ListParagraph"/>
        <w:keepLines/>
        <w:numPr>
          <w:ilvl w:val="0"/>
          <w:numId w:val="1"/>
        </w:numPr>
        <w:spacing w:lineRule="auto" w:line="271" w:before="0" w:after="60"/>
        <w:rPr/>
      </w:pPr>
      <w:r>
        <w:rPr>
          <w:rFonts w:eastAsia="Courier New" w:cs="Courier New" w:ascii="Courier New" w:hAnsi="Courier New"/>
          <w:color w:val="B42318"/>
          <w:sz w:val="19"/>
          <w:szCs w:val="19"/>
          <w:shd w:fill="F3F5F8" w:val="clear"/>
        </w:rPr>
        <w:t>admin</w:t>
      </w:r>
      <w:r>
        <w:rPr/>
        <w:t xml:space="preserve"> → </w:t>
      </w:r>
      <w:r>
        <w:rPr>
          <w:b/>
          <w:bCs/>
        </w:rPr>
        <w:t>administrer</w:t>
      </w:r>
    </w:p>
    <w:tbl>
      <w:tblPr>
        <w:tblW w:w="9638" w:type="dxa"/>
        <w:jc w:val="left"/>
        <w:tblInd w:w="0" w:type="dxa"/>
        <w:tblLayout w:type="fixed"/>
        <w:tblCellMar>
          <w:top w:w="70" w:type="dxa"/>
          <w:left w:w="90" w:type="dxa"/>
          <w:bottom w:w="70" w:type="dxa"/>
          <w:right w:w="90" w:type="dxa"/>
        </w:tblCellMar>
      </w:tblPr>
      <w:tblGrid>
        <w:gridCol w:w="3199"/>
        <w:gridCol w:w="1700"/>
        <w:gridCol w:w="4739"/>
      </w:tblGrid>
      <w:tr>
        <w:trPr>
          <w:tblHeader w:val="true"/>
          <w:cantSplit w:val="true"/>
        </w:trPr>
        <w:tc>
          <w:tcPr>
            <w:tcW w:w="3199"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Action</w:t>
            </w:r>
          </w:p>
        </w:tc>
        <w:tc>
          <w:tcPr>
            <w:tcW w:w="1700"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9"/>
                <w:szCs w:val="19"/>
              </w:rPr>
              <w:t>Résultat pour Ian</w:t>
            </w:r>
          </w:p>
        </w:tc>
        <w:tc>
          <w:tcPr>
            <w:tcW w:w="4739"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9"/>
                <w:szCs w:val="19"/>
              </w:rPr>
              <w:t>Pourquoi</w:t>
            </w:r>
          </w:p>
        </w:tc>
      </w:tr>
      <w:tr>
        <w:trPr>
          <w:cantSplit w:val="true"/>
        </w:trPr>
        <w:tc>
          <w:tcPr>
            <w:tcW w:w="3199"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7"/>
                <w:szCs w:val="17"/>
              </w:rPr>
              <w:t>openstack server list</w:t>
            </w:r>
          </w:p>
        </w:tc>
        <w:tc>
          <w:tcPr>
            <w:tcW w:w="170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9"/>
                <w:szCs w:val="19"/>
              </w:rPr>
              <w:t xml:space="preserve">✓ </w:t>
            </w:r>
            <w:r>
              <w:rPr>
                <w:rFonts w:eastAsia="Calibri" w:cs="Calibri"/>
                <w:b/>
                <w:bCs/>
                <w:color w:val="1B7F3B"/>
                <w:sz w:val="19"/>
                <w:szCs w:val="19"/>
              </w:rPr>
              <w:t>Réussit</w:t>
            </w:r>
          </w:p>
        </w:tc>
        <w:tc>
          <w:tcPr>
            <w:tcW w:w="4739"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Il peut consulter les ressources de team-a</w:t>
            </w:r>
          </w:p>
        </w:tc>
      </w:tr>
      <w:tr>
        <w:trPr>
          <w:cantSplit w:val="true"/>
        </w:trPr>
        <w:tc>
          <w:tcPr>
            <w:tcW w:w="3199" w:type="dxa"/>
            <w:tcBorders>
              <w:bottom w:val="single" w:sz="4" w:space="0" w:color="D8DEE6"/>
            </w:tcBorders>
            <w:shd w:color="auto" w:fill="F7F9FB" w:val="clear"/>
            <w:vAlign w:val="center"/>
          </w:tcPr>
          <w:p>
            <w:pPr>
              <w:pStyle w:val="Normal"/>
              <w:spacing w:lineRule="auto" w:line="249" w:before="0" w:after="0"/>
              <w:jc w:val="left"/>
              <w:rPr/>
            </w:pPr>
            <w:r>
              <w:rPr>
                <w:rFonts w:eastAsia="Courier New" w:cs="Courier New" w:ascii="Courier New" w:hAnsi="Courier New"/>
                <w:color w:val="111827"/>
                <w:sz w:val="17"/>
                <w:szCs w:val="17"/>
              </w:rPr>
              <w:t>openstack server show vm-candace</w:t>
            </w:r>
          </w:p>
        </w:tc>
        <w:tc>
          <w:tcPr>
            <w:tcW w:w="1700"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1B7F3B"/>
                <w:sz w:val="19"/>
                <w:szCs w:val="19"/>
              </w:rPr>
              <w:t xml:space="preserve">✓ </w:t>
            </w:r>
            <w:r>
              <w:rPr>
                <w:rFonts w:eastAsia="Calibri" w:cs="Calibri"/>
                <w:b/>
                <w:bCs/>
                <w:color w:val="1B7F3B"/>
                <w:sz w:val="19"/>
                <w:szCs w:val="19"/>
              </w:rPr>
              <w:t>Réussit</w:t>
            </w:r>
          </w:p>
        </w:tc>
        <w:tc>
          <w:tcPr>
            <w:tcW w:w="4739"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Il peut consulter la VM</w:t>
            </w:r>
          </w:p>
        </w:tc>
      </w:tr>
      <w:tr>
        <w:trPr>
          <w:cantSplit w:val="true"/>
        </w:trPr>
        <w:tc>
          <w:tcPr>
            <w:tcW w:w="3199"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7"/>
                <w:szCs w:val="17"/>
              </w:rPr>
              <w:t>openstack server stop vm-candace</w:t>
            </w:r>
          </w:p>
        </w:tc>
        <w:tc>
          <w:tcPr>
            <w:tcW w:w="170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B42318"/>
                <w:sz w:val="19"/>
                <w:szCs w:val="19"/>
              </w:rPr>
              <w:t xml:space="preserve">✗ </w:t>
            </w:r>
            <w:r>
              <w:rPr>
                <w:rFonts w:eastAsia="Calibri" w:cs="Calibri"/>
                <w:b/>
                <w:bCs/>
                <w:color w:val="B42318"/>
                <w:sz w:val="19"/>
                <w:szCs w:val="19"/>
              </w:rPr>
              <w:t>403</w:t>
            </w:r>
          </w:p>
        </w:tc>
        <w:tc>
          <w:tcPr>
            <w:tcW w:w="4739"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reader ne permet pas de modifier/arrêter une VM</w:t>
            </w:r>
          </w:p>
        </w:tc>
      </w:tr>
      <w:tr>
        <w:trPr>
          <w:cantSplit w:val="true"/>
        </w:trPr>
        <w:tc>
          <w:tcPr>
            <w:tcW w:w="3199" w:type="dxa"/>
            <w:tcBorders>
              <w:bottom w:val="single" w:sz="4" w:space="0" w:color="D8DEE6"/>
            </w:tcBorders>
            <w:shd w:color="auto" w:fill="F7F9FB" w:val="clear"/>
            <w:vAlign w:val="center"/>
          </w:tcPr>
          <w:p>
            <w:pPr>
              <w:pStyle w:val="Normal"/>
              <w:spacing w:lineRule="auto" w:line="249" w:before="0" w:after="0"/>
              <w:jc w:val="left"/>
              <w:rPr/>
            </w:pPr>
            <w:r>
              <w:rPr>
                <w:rFonts w:eastAsia="Courier New" w:cs="Courier New" w:ascii="Courier New" w:hAnsi="Courier New"/>
                <w:color w:val="111827"/>
                <w:sz w:val="17"/>
                <w:szCs w:val="17"/>
              </w:rPr>
              <w:t>openstack server create ... vm-ian</w:t>
            </w:r>
          </w:p>
        </w:tc>
        <w:tc>
          <w:tcPr>
            <w:tcW w:w="1700"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B42318"/>
                <w:sz w:val="19"/>
                <w:szCs w:val="19"/>
              </w:rPr>
              <w:t xml:space="preserve">✗ </w:t>
            </w:r>
            <w:r>
              <w:rPr>
                <w:rFonts w:eastAsia="Calibri" w:cs="Calibri"/>
                <w:b/>
                <w:bCs/>
                <w:color w:val="B42318"/>
                <w:sz w:val="19"/>
                <w:szCs w:val="19"/>
              </w:rPr>
              <w:t>403</w:t>
            </w:r>
          </w:p>
        </w:tc>
        <w:tc>
          <w:tcPr>
            <w:tcW w:w="4739"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sz w:val="19"/>
                <w:szCs w:val="19"/>
              </w:rPr>
              <w:t>reader ne permet pas de créer une VM</w:t>
            </w:r>
          </w:p>
        </w:tc>
      </w:tr>
      <w:tr>
        <w:trPr>
          <w:cantSplit w:val="true"/>
        </w:trPr>
        <w:tc>
          <w:tcPr>
            <w:tcW w:w="3199"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7"/>
                <w:szCs w:val="17"/>
              </w:rPr>
              <w:t>openstack network create net-ian</w:t>
            </w:r>
          </w:p>
        </w:tc>
        <w:tc>
          <w:tcPr>
            <w:tcW w:w="170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B42318"/>
                <w:sz w:val="19"/>
                <w:szCs w:val="19"/>
              </w:rPr>
              <w:t xml:space="preserve">✗ </w:t>
            </w:r>
            <w:r>
              <w:rPr>
                <w:rFonts w:eastAsia="Calibri" w:cs="Calibri"/>
                <w:b/>
                <w:bCs/>
                <w:color w:val="B42318"/>
                <w:sz w:val="19"/>
                <w:szCs w:val="19"/>
              </w:rPr>
              <w:t>403</w:t>
            </w:r>
          </w:p>
        </w:tc>
        <w:tc>
          <w:tcPr>
            <w:tcW w:w="4739"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sz w:val="19"/>
                <w:szCs w:val="19"/>
              </w:rPr>
              <w:t>reader ne permet pas de créer une ressource</w:t>
            </w:r>
          </w:p>
        </w:tc>
      </w:tr>
    </w:tbl>
    <w:p>
      <w:pPr>
        <w:pStyle w:val="Normal"/>
        <w:spacing w:before="0" w:after="140"/>
        <w:rPr/>
      </w:pPr>
      <w:r>
        <w:rPr/>
      </w:r>
    </w:p>
    <w:p>
      <w:pPr>
        <w:pStyle w:val="Normal"/>
        <w:keepLines/>
        <w:spacing w:lineRule="auto" w:line="276" w:before="0" w:after="100"/>
        <w:rPr/>
      </w:pPr>
      <w:r>
        <w:rPr/>
        <w:t>Ian peut lister et afficher vm-candace car il possède le rôle reader sur le projet team-a. En revanche, il ne peut pas arrêter la VM, créer une VM ou créer un réseau, car ces actions nécessitent des droits supérieurs à reader : elles retournent 403 Forbidden.</w:t>
      </w:r>
    </w:p>
    <w:p>
      <w:pPr>
        <w:pStyle w:val="Normal"/>
        <w:keepLines/>
        <w:spacing w:lineRule="auto" w:line="276" w:before="0" w:after="100"/>
        <w:rPr/>
      </w:pPr>
      <w:r>
        <w:rPr/>
        <w:t>Baron reçoit 404 car il appartient à team-b et les ressources de team-a lui sont invisibles. Ian, lui, appartient à team-a, donc il voit la ressource, mais son rôle reader ne lui permet pas de la modifier : il reçoit donc 403.</w:t>
      </w:r>
    </w:p>
    <w:p>
      <w:pPr>
        <w:pStyle w:val="Normal"/>
        <w:keepNext w:val="true"/>
        <w:spacing w:before="140" w:after="40"/>
        <w:jc w:val="center"/>
        <w:rPr/>
      </w:pPr>
      <w:r>
        <w:rPr/>
        <w:drawing>
          <wp:inline distT="0" distB="0" distL="0" distR="0">
            <wp:extent cx="5810250" cy="1885950"/>
            <wp:effectExtent l="0" t="0" r="0" b="0"/>
            <wp:docPr id="55" name="fig55" descr="Figure 55&#10;Capture d'écran — Sectio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ig55" descr="Figure 55&#10;Capture d'écran — Section 3.3"/>
                    <pic:cNvPicPr>
                      <a:picLocks noChangeAspect="1" noChangeArrowheads="1"/>
                    </pic:cNvPicPr>
                  </pic:nvPicPr>
                  <pic:blipFill>
                    <a:blip r:embed="rId56"/>
                    <a:stretch>
                      <a:fillRect/>
                    </a:stretch>
                  </pic:blipFill>
                  <pic:spPr bwMode="auto">
                    <a:xfrm>
                      <a:off x="0" y="0"/>
                      <a:ext cx="5810250" cy="18859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55 — Section 3.3</w:t>
      </w:r>
    </w:p>
    <w:p>
      <w:pPr>
        <w:pStyle w:val="Normal"/>
        <w:keepNext w:val="true"/>
        <w:spacing w:before="140" w:after="40"/>
        <w:jc w:val="center"/>
        <w:rPr/>
      </w:pPr>
      <w:r>
        <w:rPr/>
        <w:drawing>
          <wp:inline distT="0" distB="0" distL="0" distR="0">
            <wp:extent cx="5810250" cy="3905250"/>
            <wp:effectExtent l="0" t="0" r="0" b="0"/>
            <wp:docPr id="56" name="fig56" descr="Figure 56&#10;Capture d'écran — Sectio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ig56" descr="Figure 56&#10;Capture d'écran — Section 3.3"/>
                    <pic:cNvPicPr>
                      <a:picLocks noChangeAspect="1" noChangeArrowheads="1"/>
                    </pic:cNvPicPr>
                  </pic:nvPicPr>
                  <pic:blipFill>
                    <a:blip r:embed="rId57"/>
                    <a:stretch>
                      <a:fillRect/>
                    </a:stretch>
                  </pic:blipFill>
                  <pic:spPr bwMode="auto">
                    <a:xfrm>
                      <a:off x="0" y="0"/>
                      <a:ext cx="5810250" cy="39052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56 — Section 3.3</w:t>
      </w:r>
    </w:p>
    <w:p>
      <w:pPr>
        <w:pStyle w:val="Heading2"/>
        <w:rPr/>
      </w:pPr>
      <w:bookmarkStart w:id="20" w:name="__RefHeading___Toc1592_1376105353"/>
      <w:bookmarkEnd w:id="20"/>
      <w:r>
        <w:rPr/>
        <w:t>3.4 Ce qu'un membre ne peut pas faire</w:t>
      </w:r>
    </w:p>
    <w:p>
      <w:pPr>
        <w:pStyle w:val="Normal"/>
        <w:keepNext w:val="true"/>
        <w:pBdr>
          <w:left w:val="single" w:sz="18" w:space="8" w:color="0F9D8F"/>
        </w:pBdr>
        <w:shd w:val="clear" w:color="auto" w:fill="E8F6F4"/>
        <w:spacing w:before="120" w:after="80"/>
        <w:ind w:left="200"/>
        <w:rPr/>
      </w:pPr>
      <w:r>
        <w:rPr>
          <w:color w:val="6B7280"/>
          <w:sz w:val="20"/>
          <w:szCs w:val="20"/>
        </w:rPr>
        <w:t xml:space="preserve">Identité utilisée : </w:t>
      </w:r>
      <w:r>
        <w:rPr>
          <w:rFonts w:eastAsia="Courier New" w:cs="Courier New" w:ascii="Courier New" w:hAnsi="Courier New"/>
          <w:b/>
          <w:bCs/>
          <w:color w:val="0B7A70"/>
          <w:sz w:val="20"/>
          <w:szCs w:val="20"/>
        </w:rPr>
        <w:t>candace</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export OS_CLOUD=candace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user list</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project create team-c</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flavor create --vcpus 8 --ram 16384 --disk 100 m1.geant</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quota set --instances 100 team-a</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Q11  </w:t>
      </w:r>
      <w:r>
        <w:rPr>
          <w:b w:val="false"/>
          <w:bCs w:val="false"/>
          <w:color w:val="0B2545"/>
        </w:rPr>
        <w:t>Complétez le tableau à partir de vos tests. Pour une case non encore testée, lancez la commande indiquée avec l’identité correspondante (</w:t>
      </w:r>
      <w:r>
        <w:rPr>
          <w:rFonts w:eastAsia="Courier New" w:cs="Courier New" w:ascii="Courier New" w:hAnsi="Courier New"/>
          <w:b w:val="false"/>
          <w:bCs w:val="false"/>
          <w:color w:val="B42318"/>
          <w:sz w:val="19"/>
          <w:szCs w:val="19"/>
          <w:shd w:fill="F3F5F8" w:val="clear"/>
        </w:rPr>
        <w:t>--os-cloud &lt;profil&gt;</w:t>
      </w:r>
      <w:r>
        <w:rPr>
          <w:b w:val="false"/>
          <w:bCs w:val="false"/>
          <w:color w:val="0B2545"/>
        </w:rPr>
        <w:t>).</w:t>
      </w:r>
    </w:p>
    <w:p>
      <w:pPr>
        <w:pStyle w:val="Normal"/>
        <w:keepLines/>
        <w:spacing w:lineRule="auto" w:line="276" w:before="0" w:after="100"/>
        <w:rPr/>
      </w:pPr>
      <w:r>
        <w:rPr/>
        <w:t xml:space="preserve">Préparation : récupérez le nom de l’image CirrOS et les identifiants de </w:t>
      </w:r>
      <w:r>
        <w:rPr>
          <w:rFonts w:eastAsia="Courier New" w:cs="Courier New" w:ascii="Courier New" w:hAnsi="Courier New"/>
          <w:color w:val="B42318"/>
          <w:sz w:val="19"/>
          <w:szCs w:val="19"/>
          <w:shd w:fill="F3F5F8" w:val="clear"/>
        </w:rPr>
        <w:t>vm-candace</w:t>
      </w:r>
      <w:r>
        <w:rPr/>
        <w:t xml:space="preserve"> et </w:t>
      </w:r>
      <w:r>
        <w:rPr>
          <w:rFonts w:eastAsia="Courier New" w:cs="Courier New" w:ascii="Courier New" w:hAnsi="Courier New"/>
          <w:color w:val="B42318"/>
          <w:sz w:val="19"/>
          <w:szCs w:val="19"/>
          <w:shd w:fill="F3F5F8" w:val="clear"/>
        </w:rPr>
        <w:t>net-candace</w:t>
      </w:r>
      <w:r>
        <w:rPr/>
        <w:t>. Les commandes du tableau utilisent les ID : une ressource d’un autre projet ne peut pas être retrouvée par son nom.</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IMG=$(openstack --os-cloud admin image list -f value -c Name | grep -i cirros | head -1)</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VM_ID=$(openstack --os-cloud candace server show vm-candace -f value -c id)</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NET_ID=$(openstack --os-cloud candace network show net-candace -f value -c id)</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echo "$IMG | $VM_ID | $NET_ID"</w:t>
      </w:r>
    </w:p>
    <w:p>
      <w:pPr>
        <w:pStyle w:val="Normal"/>
        <w:keepLines/>
        <w:spacing w:lineRule="auto" w:line="276" w:before="0" w:after="100"/>
        <w:rPr/>
      </w:pPr>
      <w:r>
        <w:rPr/>
        <w:t>Légende : ✓ = autorisé · ✗ 403 = refusé (rôle insuffisant) · ✗ 404 = introuvable (ressource invisible)</w:t>
      </w:r>
    </w:p>
    <w:p>
      <w:pPr>
        <w:pStyle w:val="Normal"/>
        <w:keepLines/>
        <w:spacing w:lineRule="auto" w:line="276" w:before="0" w:after="100"/>
        <w:rPr/>
      </w:pPr>
      <w:r>
        <w:rPr/>
        <w:t>Dans les deux dernières colonnes, indiquez Oui si le résultat varie selon le projet de l’utilisateur (apparition de 404), ou selon son rôle (apparition de 403). Une action peut dépendre des deux.</w:t>
      </w:r>
    </w:p>
    <w:p>
      <w:pPr>
        <w:pStyle w:val="Normal"/>
        <w:keepLines/>
        <w:spacing w:lineRule="auto" w:line="276" w:before="0" w:after="100"/>
        <w:rPr/>
      </w:pPr>
      <w:r>
        <w:rPr>
          <w:rFonts w:eastAsia="Courier New" w:cs="Courier New" w:ascii="Courier New" w:hAnsi="Courier New"/>
          <w:color w:val="B42318"/>
          <w:sz w:val="19"/>
          <w:szCs w:val="19"/>
          <w:shd w:fill="F3F5F8" w:val="clear"/>
        </w:rPr>
        <w:t>&lt;profil&gt;</w:t>
      </w:r>
      <w:r>
        <w:rPr/>
        <w:t xml:space="preserve"> désigne l’identité testée : admin, candace, baron ou ian.</w:t>
      </w:r>
    </w:p>
    <w:tbl>
      <w:tblPr>
        <w:tblW w:w="9638" w:type="dxa"/>
        <w:jc w:val="left"/>
        <w:tblInd w:w="0" w:type="dxa"/>
        <w:tblLayout w:type="fixed"/>
        <w:tblCellMar>
          <w:top w:w="70" w:type="dxa"/>
          <w:left w:w="90" w:type="dxa"/>
          <w:bottom w:w="70" w:type="dxa"/>
          <w:right w:w="90" w:type="dxa"/>
        </w:tblCellMar>
      </w:tblPr>
      <w:tblGrid>
        <w:gridCol w:w="329"/>
        <w:gridCol w:w="1350"/>
        <w:gridCol w:w="2750"/>
        <w:gridCol w:w="681"/>
        <w:gridCol w:w="779"/>
        <w:gridCol w:w="701"/>
        <w:gridCol w:w="620"/>
        <w:gridCol w:w="1213"/>
        <w:gridCol w:w="1214"/>
      </w:tblGrid>
      <w:tr>
        <w:trPr>
          <w:tblHeader w:val="true"/>
          <w:cantSplit w:val="true"/>
        </w:trPr>
        <w:tc>
          <w:tcPr>
            <w:tcW w:w="329"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5"/>
                <w:szCs w:val="15"/>
              </w:rPr>
              <w:t>#</w:t>
            </w:r>
          </w:p>
        </w:tc>
        <w:tc>
          <w:tcPr>
            <w:tcW w:w="1350"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5"/>
                <w:szCs w:val="15"/>
              </w:rPr>
              <w:t>Action</w:t>
            </w:r>
          </w:p>
        </w:tc>
        <w:tc>
          <w:tcPr>
            <w:tcW w:w="2750" w:type="dxa"/>
            <w:tcBorders>
              <w:bottom w:val="single" w:sz="4" w:space="0" w:color="D8DEE6"/>
            </w:tcBorders>
            <w:shd w:color="auto" w:fill="0B2545" w:val="clear"/>
            <w:vAlign w:val="center"/>
          </w:tcPr>
          <w:p>
            <w:pPr>
              <w:pStyle w:val="Normal"/>
              <w:spacing w:lineRule="auto" w:line="249" w:before="0" w:after="0"/>
              <w:jc w:val="left"/>
              <w:rPr/>
            </w:pPr>
            <w:r>
              <w:rPr>
                <w:rFonts w:eastAsia="Calibri" w:cs="Calibri"/>
                <w:b/>
                <w:bCs/>
                <w:color w:val="FFFFFF"/>
                <w:sz w:val="15"/>
                <w:szCs w:val="15"/>
              </w:rPr>
              <w:t>Commande</w:t>
            </w:r>
          </w:p>
        </w:tc>
        <w:tc>
          <w:tcPr>
            <w:tcW w:w="681"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5"/>
                <w:szCs w:val="15"/>
              </w:rPr>
              <w:t>admin</w:t>
            </w:r>
          </w:p>
        </w:tc>
        <w:tc>
          <w:tcPr>
            <w:tcW w:w="779"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5"/>
                <w:szCs w:val="15"/>
              </w:rPr>
              <w:t>candace</w:t>
            </w:r>
          </w:p>
        </w:tc>
        <w:tc>
          <w:tcPr>
            <w:tcW w:w="701"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5"/>
                <w:szCs w:val="15"/>
              </w:rPr>
              <w:t>baron</w:t>
            </w:r>
          </w:p>
        </w:tc>
        <w:tc>
          <w:tcPr>
            <w:tcW w:w="620"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5"/>
                <w:szCs w:val="15"/>
              </w:rPr>
              <w:t>ian</w:t>
            </w:r>
          </w:p>
        </w:tc>
        <w:tc>
          <w:tcPr>
            <w:tcW w:w="1213"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5"/>
                <w:szCs w:val="15"/>
              </w:rPr>
              <w:t>Dépend du projet ?</w:t>
            </w:r>
          </w:p>
        </w:tc>
        <w:tc>
          <w:tcPr>
            <w:tcW w:w="1214" w:type="dxa"/>
            <w:tcBorders>
              <w:bottom w:val="single" w:sz="4" w:space="0" w:color="D8DEE6"/>
            </w:tcBorders>
            <w:shd w:color="auto" w:fill="0B2545" w:val="clear"/>
            <w:vAlign w:val="center"/>
          </w:tcPr>
          <w:p>
            <w:pPr>
              <w:pStyle w:val="Normal"/>
              <w:spacing w:lineRule="auto" w:line="249" w:before="0" w:after="0"/>
              <w:jc w:val="center"/>
              <w:rPr/>
            </w:pPr>
            <w:r>
              <w:rPr>
                <w:rFonts w:eastAsia="Calibri" w:cs="Calibri"/>
                <w:b/>
                <w:bCs/>
                <w:color w:val="FFFFFF"/>
                <w:sz w:val="15"/>
                <w:szCs w:val="15"/>
              </w:rPr>
              <w:t>Dépend du rôle ?</w:t>
            </w:r>
          </w:p>
        </w:tc>
      </w:tr>
      <w:tr>
        <w:trPr>
          <w:cantSplit w:val="true"/>
        </w:trPr>
        <w:tc>
          <w:tcPr>
            <w:tcW w:w="32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1</w:t>
            </w:r>
          </w:p>
        </w:tc>
        <w:tc>
          <w:tcPr>
            <w:tcW w:w="1350"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b/>
                <w:bCs/>
                <w:color w:val="0B2545"/>
                <w:sz w:val="15"/>
                <w:szCs w:val="15"/>
              </w:rPr>
              <w:t>Voir vm-candace</w:t>
            </w:r>
          </w:p>
        </w:tc>
        <w:tc>
          <w:tcPr>
            <w:tcW w:w="2750"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4"/>
                <w:szCs w:val="14"/>
              </w:rPr>
              <w:t>openstack server show $VM_ID</w:t>
            </w:r>
          </w:p>
        </w:tc>
        <w:tc>
          <w:tcPr>
            <w:tcW w:w="681"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5"/>
                <w:szCs w:val="15"/>
              </w:rPr>
              <w:t>✓</w:t>
            </w:r>
          </w:p>
        </w:tc>
        <w:tc>
          <w:tcPr>
            <w:tcW w:w="77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5"/>
                <w:szCs w:val="15"/>
              </w:rPr>
              <w:t>✓</w:t>
            </w:r>
          </w:p>
        </w:tc>
        <w:tc>
          <w:tcPr>
            <w:tcW w:w="701"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404</w:t>
            </w:r>
          </w:p>
        </w:tc>
        <w:tc>
          <w:tcPr>
            <w:tcW w:w="62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5"/>
                <w:szCs w:val="15"/>
              </w:rPr>
              <w:t>✓</w:t>
            </w:r>
          </w:p>
        </w:tc>
        <w:tc>
          <w:tcPr>
            <w:tcW w:w="1213"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Oui</w:t>
            </w:r>
          </w:p>
        </w:tc>
        <w:tc>
          <w:tcPr>
            <w:tcW w:w="1214"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Non</w:t>
            </w:r>
          </w:p>
        </w:tc>
      </w:tr>
      <w:tr>
        <w:trPr>
          <w:cantSplit w:val="true"/>
        </w:trPr>
        <w:tc>
          <w:tcPr>
            <w:tcW w:w="32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5"/>
                <w:szCs w:val="15"/>
              </w:rPr>
              <w:t>2</w:t>
            </w:r>
          </w:p>
        </w:tc>
        <w:tc>
          <w:tcPr>
            <w:tcW w:w="1350"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b/>
                <w:bCs/>
                <w:color w:val="0B2545"/>
                <w:sz w:val="15"/>
                <w:szCs w:val="15"/>
              </w:rPr>
              <w:t>Créer une VM dans son projet</w:t>
            </w:r>
          </w:p>
        </w:tc>
        <w:tc>
          <w:tcPr>
            <w:tcW w:w="2750" w:type="dxa"/>
            <w:tcBorders>
              <w:bottom w:val="single" w:sz="4" w:space="0" w:color="D8DEE6"/>
            </w:tcBorders>
            <w:shd w:color="auto" w:fill="F7F9FB" w:val="clear"/>
            <w:vAlign w:val="center"/>
          </w:tcPr>
          <w:p>
            <w:pPr>
              <w:pStyle w:val="Normal"/>
              <w:spacing w:lineRule="auto" w:line="249" w:before="0" w:after="0"/>
              <w:jc w:val="left"/>
              <w:rPr/>
            </w:pPr>
            <w:r>
              <w:rPr>
                <w:rFonts w:eastAsia="Courier New" w:cs="Courier New" w:ascii="Courier New" w:hAnsi="Courier New"/>
                <w:color w:val="111827"/>
                <w:sz w:val="14"/>
                <w:szCs w:val="14"/>
              </w:rPr>
              <w:t>openstack server create --flavor m1.tiny --image "$IMG" --network shared --wait vm-test-&lt;profil&gt;</w:t>
            </w:r>
          </w:p>
        </w:tc>
        <w:tc>
          <w:tcPr>
            <w:tcW w:w="681"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1B7F3B"/>
                <w:sz w:val="15"/>
                <w:szCs w:val="15"/>
              </w:rPr>
              <w:t>✓</w:t>
            </w:r>
          </w:p>
        </w:tc>
        <w:tc>
          <w:tcPr>
            <w:tcW w:w="77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1B7F3B"/>
                <w:sz w:val="15"/>
                <w:szCs w:val="15"/>
              </w:rPr>
              <w:t>✓</w:t>
            </w:r>
          </w:p>
        </w:tc>
        <w:tc>
          <w:tcPr>
            <w:tcW w:w="701"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1B7F3B"/>
                <w:sz w:val="15"/>
                <w:szCs w:val="15"/>
              </w:rPr>
              <w:t>✓</w:t>
            </w:r>
          </w:p>
        </w:tc>
        <w:tc>
          <w:tcPr>
            <w:tcW w:w="620"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403</w:t>
            </w:r>
          </w:p>
        </w:tc>
        <w:tc>
          <w:tcPr>
            <w:tcW w:w="1213"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5"/>
                <w:szCs w:val="15"/>
              </w:rPr>
              <w:t>Non</w:t>
            </w:r>
          </w:p>
        </w:tc>
        <w:tc>
          <w:tcPr>
            <w:tcW w:w="1214"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5"/>
                <w:szCs w:val="15"/>
              </w:rPr>
              <w:t>Oui</w:t>
            </w:r>
          </w:p>
        </w:tc>
      </w:tr>
      <w:tr>
        <w:trPr>
          <w:cantSplit w:val="true"/>
        </w:trPr>
        <w:tc>
          <w:tcPr>
            <w:tcW w:w="32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3</w:t>
            </w:r>
          </w:p>
        </w:tc>
        <w:tc>
          <w:tcPr>
            <w:tcW w:w="1350"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b/>
                <w:bCs/>
                <w:color w:val="0B2545"/>
                <w:sz w:val="15"/>
                <w:szCs w:val="15"/>
              </w:rPr>
              <w:t>Arrêter vm-candace</w:t>
            </w:r>
          </w:p>
        </w:tc>
        <w:tc>
          <w:tcPr>
            <w:tcW w:w="2750"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4"/>
                <w:szCs w:val="14"/>
              </w:rPr>
              <w:t>openstack server stop $VM_ID</w:t>
            </w:r>
          </w:p>
        </w:tc>
        <w:tc>
          <w:tcPr>
            <w:tcW w:w="681"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5"/>
                <w:szCs w:val="15"/>
              </w:rPr>
              <w:t>✓</w:t>
            </w:r>
          </w:p>
        </w:tc>
        <w:tc>
          <w:tcPr>
            <w:tcW w:w="77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5"/>
                <w:szCs w:val="15"/>
              </w:rPr>
              <w:t>✓</w:t>
            </w:r>
          </w:p>
        </w:tc>
        <w:tc>
          <w:tcPr>
            <w:tcW w:w="701"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404</w:t>
            </w:r>
          </w:p>
        </w:tc>
        <w:tc>
          <w:tcPr>
            <w:tcW w:w="62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403</w:t>
            </w:r>
          </w:p>
        </w:tc>
        <w:tc>
          <w:tcPr>
            <w:tcW w:w="1213"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Oui</w:t>
            </w:r>
          </w:p>
        </w:tc>
        <w:tc>
          <w:tcPr>
            <w:tcW w:w="1214"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Oui</w:t>
            </w:r>
          </w:p>
        </w:tc>
      </w:tr>
      <w:tr>
        <w:trPr>
          <w:cantSplit w:val="true"/>
        </w:trPr>
        <w:tc>
          <w:tcPr>
            <w:tcW w:w="32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5"/>
                <w:szCs w:val="15"/>
              </w:rPr>
              <w:t>4</w:t>
            </w:r>
          </w:p>
        </w:tc>
        <w:tc>
          <w:tcPr>
            <w:tcW w:w="1350"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b/>
                <w:bCs/>
                <w:color w:val="0B2545"/>
                <w:sz w:val="15"/>
                <w:szCs w:val="15"/>
              </w:rPr>
              <w:t>Créer un réseau dans son projet</w:t>
            </w:r>
          </w:p>
        </w:tc>
        <w:tc>
          <w:tcPr>
            <w:tcW w:w="2750" w:type="dxa"/>
            <w:tcBorders>
              <w:bottom w:val="single" w:sz="4" w:space="0" w:color="D8DEE6"/>
            </w:tcBorders>
            <w:shd w:color="auto" w:fill="F7F9FB" w:val="clear"/>
            <w:vAlign w:val="center"/>
          </w:tcPr>
          <w:p>
            <w:pPr>
              <w:pStyle w:val="Normal"/>
              <w:spacing w:lineRule="auto" w:line="249" w:before="0" w:after="0"/>
              <w:jc w:val="left"/>
              <w:rPr/>
            </w:pPr>
            <w:r>
              <w:rPr>
                <w:rFonts w:eastAsia="Courier New" w:cs="Courier New" w:ascii="Courier New" w:hAnsi="Courier New"/>
                <w:color w:val="111827"/>
                <w:sz w:val="14"/>
                <w:szCs w:val="14"/>
              </w:rPr>
              <w:t>openstack network create net-test-&lt;profil&gt;</w:t>
            </w:r>
          </w:p>
        </w:tc>
        <w:tc>
          <w:tcPr>
            <w:tcW w:w="681"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1B7F3B"/>
                <w:sz w:val="15"/>
                <w:szCs w:val="15"/>
              </w:rPr>
              <w:t>✓</w:t>
            </w:r>
          </w:p>
        </w:tc>
        <w:tc>
          <w:tcPr>
            <w:tcW w:w="77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1B7F3B"/>
                <w:sz w:val="15"/>
                <w:szCs w:val="15"/>
              </w:rPr>
              <w:t>✓</w:t>
            </w:r>
          </w:p>
        </w:tc>
        <w:tc>
          <w:tcPr>
            <w:tcW w:w="701"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1B7F3B"/>
                <w:sz w:val="15"/>
                <w:szCs w:val="15"/>
              </w:rPr>
              <w:t>✓</w:t>
            </w:r>
          </w:p>
        </w:tc>
        <w:tc>
          <w:tcPr>
            <w:tcW w:w="620"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403</w:t>
            </w:r>
          </w:p>
        </w:tc>
        <w:tc>
          <w:tcPr>
            <w:tcW w:w="1213"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5"/>
                <w:szCs w:val="15"/>
              </w:rPr>
              <w:t>Non</w:t>
            </w:r>
          </w:p>
        </w:tc>
        <w:tc>
          <w:tcPr>
            <w:tcW w:w="1214"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5"/>
                <w:szCs w:val="15"/>
              </w:rPr>
              <w:t>Oui</w:t>
            </w:r>
          </w:p>
        </w:tc>
      </w:tr>
      <w:tr>
        <w:trPr>
          <w:cantSplit w:val="true"/>
        </w:trPr>
        <w:tc>
          <w:tcPr>
            <w:tcW w:w="32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5</w:t>
            </w:r>
          </w:p>
        </w:tc>
        <w:tc>
          <w:tcPr>
            <w:tcW w:w="1350"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b/>
                <w:bCs/>
                <w:color w:val="0B2545"/>
                <w:sz w:val="15"/>
                <w:szCs w:val="15"/>
              </w:rPr>
              <w:t>Voir le réseau net-candace</w:t>
            </w:r>
          </w:p>
        </w:tc>
        <w:tc>
          <w:tcPr>
            <w:tcW w:w="2750"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4"/>
                <w:szCs w:val="14"/>
              </w:rPr>
              <w:t>openstack network show $NET_ID</w:t>
            </w:r>
          </w:p>
        </w:tc>
        <w:tc>
          <w:tcPr>
            <w:tcW w:w="681"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5"/>
                <w:szCs w:val="15"/>
              </w:rPr>
              <w:t>✓</w:t>
            </w:r>
          </w:p>
        </w:tc>
        <w:tc>
          <w:tcPr>
            <w:tcW w:w="77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5"/>
                <w:szCs w:val="15"/>
              </w:rPr>
              <w:t>✓</w:t>
            </w:r>
          </w:p>
        </w:tc>
        <w:tc>
          <w:tcPr>
            <w:tcW w:w="701"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404</w:t>
            </w:r>
          </w:p>
        </w:tc>
        <w:tc>
          <w:tcPr>
            <w:tcW w:w="62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5"/>
                <w:szCs w:val="15"/>
              </w:rPr>
              <w:t>✓</w:t>
            </w:r>
          </w:p>
        </w:tc>
        <w:tc>
          <w:tcPr>
            <w:tcW w:w="1213"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Oui</w:t>
            </w:r>
          </w:p>
        </w:tc>
        <w:tc>
          <w:tcPr>
            <w:tcW w:w="1214"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Non</w:t>
            </w:r>
          </w:p>
        </w:tc>
      </w:tr>
      <w:tr>
        <w:trPr>
          <w:cantSplit w:val="true"/>
        </w:trPr>
        <w:tc>
          <w:tcPr>
            <w:tcW w:w="32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5"/>
                <w:szCs w:val="15"/>
              </w:rPr>
              <w:t>6</w:t>
            </w:r>
          </w:p>
        </w:tc>
        <w:tc>
          <w:tcPr>
            <w:tcW w:w="1350" w:type="dxa"/>
            <w:tcBorders>
              <w:bottom w:val="single" w:sz="4" w:space="0" w:color="D8DEE6"/>
            </w:tcBorders>
            <w:shd w:color="auto" w:fill="F7F9FB" w:val="clear"/>
            <w:vAlign w:val="center"/>
          </w:tcPr>
          <w:p>
            <w:pPr>
              <w:pStyle w:val="Normal"/>
              <w:spacing w:lineRule="auto" w:line="249" w:before="0" w:after="0"/>
              <w:jc w:val="left"/>
              <w:rPr/>
            </w:pPr>
            <w:r>
              <w:rPr>
                <w:rFonts w:eastAsia="Calibri" w:cs="Calibri"/>
                <w:b/>
                <w:bCs/>
                <w:color w:val="0B2545"/>
                <w:sz w:val="15"/>
                <w:szCs w:val="15"/>
              </w:rPr>
              <w:t>Lister les utilisateurs</w:t>
            </w:r>
          </w:p>
        </w:tc>
        <w:tc>
          <w:tcPr>
            <w:tcW w:w="2750" w:type="dxa"/>
            <w:tcBorders>
              <w:bottom w:val="single" w:sz="4" w:space="0" w:color="D8DEE6"/>
            </w:tcBorders>
            <w:shd w:color="auto" w:fill="F7F9FB" w:val="clear"/>
            <w:vAlign w:val="center"/>
          </w:tcPr>
          <w:p>
            <w:pPr>
              <w:pStyle w:val="Normal"/>
              <w:spacing w:lineRule="auto" w:line="249" w:before="0" w:after="0"/>
              <w:jc w:val="left"/>
              <w:rPr/>
            </w:pPr>
            <w:r>
              <w:rPr>
                <w:rFonts w:eastAsia="Courier New" w:cs="Courier New" w:ascii="Courier New" w:hAnsi="Courier New"/>
                <w:color w:val="111827"/>
                <w:sz w:val="14"/>
                <w:szCs w:val="14"/>
              </w:rPr>
              <w:t>openstack user list</w:t>
            </w:r>
          </w:p>
        </w:tc>
        <w:tc>
          <w:tcPr>
            <w:tcW w:w="681"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1B7F3B"/>
                <w:sz w:val="15"/>
                <w:szCs w:val="15"/>
              </w:rPr>
              <w:t>✓</w:t>
            </w:r>
          </w:p>
        </w:tc>
        <w:tc>
          <w:tcPr>
            <w:tcW w:w="779"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403</w:t>
            </w:r>
          </w:p>
        </w:tc>
        <w:tc>
          <w:tcPr>
            <w:tcW w:w="701"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403</w:t>
            </w:r>
          </w:p>
        </w:tc>
        <w:tc>
          <w:tcPr>
            <w:tcW w:w="620"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403</w:t>
            </w:r>
          </w:p>
        </w:tc>
        <w:tc>
          <w:tcPr>
            <w:tcW w:w="1213"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5"/>
                <w:szCs w:val="15"/>
              </w:rPr>
              <w:t>Non</w:t>
            </w:r>
          </w:p>
        </w:tc>
        <w:tc>
          <w:tcPr>
            <w:tcW w:w="1214" w:type="dxa"/>
            <w:tcBorders>
              <w:bottom w:val="single" w:sz="4" w:space="0" w:color="D8DEE6"/>
            </w:tcBorders>
            <w:shd w:color="auto" w:fill="F7F9FB" w:val="clear"/>
            <w:vAlign w:val="center"/>
          </w:tcPr>
          <w:p>
            <w:pPr>
              <w:pStyle w:val="Normal"/>
              <w:spacing w:lineRule="auto" w:line="249" w:before="0" w:after="0"/>
              <w:jc w:val="center"/>
              <w:rPr/>
            </w:pPr>
            <w:r>
              <w:rPr>
                <w:rFonts w:eastAsia="Calibri" w:cs="Calibri"/>
                <w:sz w:val="15"/>
                <w:szCs w:val="15"/>
              </w:rPr>
              <w:t>Oui</w:t>
            </w:r>
          </w:p>
        </w:tc>
      </w:tr>
      <w:tr>
        <w:trPr>
          <w:cantSplit w:val="true"/>
        </w:trPr>
        <w:tc>
          <w:tcPr>
            <w:tcW w:w="32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7</w:t>
            </w:r>
          </w:p>
        </w:tc>
        <w:tc>
          <w:tcPr>
            <w:tcW w:w="1350" w:type="dxa"/>
            <w:tcBorders>
              <w:bottom w:val="single" w:sz="4" w:space="0" w:color="D8DEE6"/>
            </w:tcBorders>
            <w:shd w:color="auto" w:fill="FFFFFF" w:val="clear"/>
            <w:vAlign w:val="center"/>
          </w:tcPr>
          <w:p>
            <w:pPr>
              <w:pStyle w:val="Normal"/>
              <w:spacing w:lineRule="auto" w:line="249" w:before="0" w:after="0"/>
              <w:jc w:val="left"/>
              <w:rPr/>
            </w:pPr>
            <w:r>
              <w:rPr>
                <w:rFonts w:eastAsia="Calibri" w:cs="Calibri"/>
                <w:b/>
                <w:bCs/>
                <w:color w:val="0B2545"/>
                <w:sz w:val="15"/>
                <w:szCs w:val="15"/>
              </w:rPr>
              <w:t>Créer un flavor</w:t>
            </w:r>
          </w:p>
        </w:tc>
        <w:tc>
          <w:tcPr>
            <w:tcW w:w="2750" w:type="dxa"/>
            <w:tcBorders>
              <w:bottom w:val="single" w:sz="4" w:space="0" w:color="D8DEE6"/>
            </w:tcBorders>
            <w:shd w:color="auto" w:fill="FFFFFF" w:val="clear"/>
            <w:vAlign w:val="center"/>
          </w:tcPr>
          <w:p>
            <w:pPr>
              <w:pStyle w:val="Normal"/>
              <w:spacing w:lineRule="auto" w:line="249" w:before="0" w:after="0"/>
              <w:jc w:val="left"/>
              <w:rPr/>
            </w:pPr>
            <w:r>
              <w:rPr>
                <w:rFonts w:eastAsia="Courier New" w:cs="Courier New" w:ascii="Courier New" w:hAnsi="Courier New"/>
                <w:color w:val="111827"/>
                <w:sz w:val="14"/>
                <w:szCs w:val="14"/>
              </w:rPr>
              <w:t>openstack flavor create --vcpus 1 --ram 256 --disk 1 test-flavor</w:t>
            </w:r>
          </w:p>
        </w:tc>
        <w:tc>
          <w:tcPr>
            <w:tcW w:w="681"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1B7F3B"/>
                <w:sz w:val="15"/>
                <w:szCs w:val="15"/>
              </w:rPr>
              <w:t>✓</w:t>
            </w:r>
          </w:p>
        </w:tc>
        <w:tc>
          <w:tcPr>
            <w:tcW w:w="779"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403</w:t>
            </w:r>
          </w:p>
        </w:tc>
        <w:tc>
          <w:tcPr>
            <w:tcW w:w="701"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403</w:t>
            </w:r>
          </w:p>
        </w:tc>
        <w:tc>
          <w:tcPr>
            <w:tcW w:w="620"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b/>
                <w:bCs/>
                <w:color w:val="B42318"/>
                <w:sz w:val="15"/>
                <w:szCs w:val="15"/>
              </w:rPr>
              <w:t xml:space="preserve">✗ </w:t>
            </w:r>
            <w:r>
              <w:rPr>
                <w:rFonts w:eastAsia="Calibri" w:cs="Calibri"/>
                <w:b/>
                <w:bCs/>
                <w:color w:val="B42318"/>
                <w:sz w:val="15"/>
                <w:szCs w:val="15"/>
              </w:rPr>
              <w:t>403</w:t>
            </w:r>
          </w:p>
        </w:tc>
        <w:tc>
          <w:tcPr>
            <w:tcW w:w="1213"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Non</w:t>
            </w:r>
          </w:p>
        </w:tc>
        <w:tc>
          <w:tcPr>
            <w:tcW w:w="1214" w:type="dxa"/>
            <w:tcBorders>
              <w:bottom w:val="single" w:sz="4" w:space="0" w:color="D8DEE6"/>
            </w:tcBorders>
            <w:shd w:color="auto" w:fill="FFFFFF" w:val="clear"/>
            <w:vAlign w:val="center"/>
          </w:tcPr>
          <w:p>
            <w:pPr>
              <w:pStyle w:val="Normal"/>
              <w:spacing w:lineRule="auto" w:line="249" w:before="0" w:after="0"/>
              <w:jc w:val="center"/>
              <w:rPr/>
            </w:pPr>
            <w:r>
              <w:rPr>
                <w:rFonts w:eastAsia="Calibri" w:cs="Calibri"/>
                <w:sz w:val="15"/>
                <w:szCs w:val="15"/>
              </w:rPr>
              <w:t>Oui</w:t>
            </w:r>
          </w:p>
        </w:tc>
      </w:tr>
    </w:tbl>
    <w:p>
      <w:pPr>
        <w:pStyle w:val="Normal"/>
        <w:spacing w:before="0" w:after="140"/>
        <w:rPr/>
      </w:pPr>
      <w:r>
        <w:rPr/>
      </w:r>
    </w:p>
    <w:tbl>
      <w:tblPr>
        <w:tblW w:w="9638" w:type="dxa"/>
        <w:jc w:val="left"/>
        <w:tblInd w:w="0" w:type="dxa"/>
        <w:tblLayout w:type="fixed"/>
        <w:tblCellMar>
          <w:top w:w="110" w:type="dxa"/>
          <w:left w:w="200" w:type="dxa"/>
          <w:bottom w:w="90" w:type="dxa"/>
          <w:right w:w="160" w:type="dxa"/>
        </w:tblCellMar>
      </w:tblPr>
      <w:tblGrid>
        <w:gridCol w:w="9638"/>
      </w:tblGrid>
      <w:tr>
        <w:trPr>
          <w:cantSplit w:val="true"/>
        </w:trPr>
        <w:tc>
          <w:tcPr>
            <w:tcW w:w="9638" w:type="dxa"/>
            <w:tcBorders>
              <w:left w:val="single" w:sz="24" w:space="0" w:color="0B7A70"/>
            </w:tcBorders>
            <w:shd w:color="auto" w:fill="E8F6F4" w:val="clear"/>
          </w:tcPr>
          <w:p>
            <w:pPr>
              <w:pStyle w:val="Normal"/>
              <w:keepNext w:val="true"/>
              <w:spacing w:before="0" w:after="60"/>
              <w:rPr/>
            </w:pPr>
            <w:r>
              <w:rPr>
                <w:b/>
                <w:bCs/>
                <w:color w:val="0B7A70"/>
                <w:sz w:val="21"/>
                <w:szCs w:val="21"/>
              </w:rPr>
              <w:t>Remarques sur le tableau</w:t>
            </w:r>
          </w:p>
          <w:p>
            <w:pPr>
              <w:pStyle w:val="ListParagraph"/>
              <w:keepLines/>
              <w:numPr>
                <w:ilvl w:val="0"/>
                <w:numId w:val="1"/>
              </w:numPr>
              <w:spacing w:lineRule="auto" w:line="271" w:before="0" w:after="60"/>
              <w:rPr/>
            </w:pPr>
            <w:r>
              <w:rPr>
                <w:sz w:val="20"/>
                <w:szCs w:val="20"/>
              </w:rPr>
              <w:t xml:space="preserve">Ligne 2 : le réseau </w:t>
            </w:r>
            <w:r>
              <w:rPr>
                <w:rFonts w:eastAsia="Courier New" w:cs="Courier New" w:ascii="Courier New" w:hAnsi="Courier New"/>
                <w:color w:val="B42318"/>
                <w:sz w:val="18"/>
                <w:szCs w:val="18"/>
                <w:shd w:fill="F3F5F8" w:val="clear"/>
              </w:rPr>
              <w:t>shared</w:t>
            </w:r>
            <w:r>
              <w:rPr>
                <w:sz w:val="20"/>
                <w:szCs w:val="20"/>
              </w:rPr>
              <w:t>, créé par DevStack, est visible par tous les projets. Il permet de tester la création d’une VM avec chaque identité, sans réseau propre à chaque projet.</w:t>
            </w:r>
          </w:p>
          <w:p>
            <w:pPr>
              <w:pStyle w:val="ListParagraph"/>
              <w:keepLines/>
              <w:numPr>
                <w:ilvl w:val="0"/>
                <w:numId w:val="1"/>
              </w:numPr>
              <w:spacing w:lineRule="auto" w:line="271" w:before="0" w:after="60"/>
              <w:rPr/>
            </w:pPr>
            <w:r>
              <w:rPr>
                <w:sz w:val="20"/>
                <w:szCs w:val="20"/>
              </w:rPr>
              <w:t xml:space="preserve">Ligne 3 : après chaque arrêt réussi, redémarrez la VM avec </w:t>
            </w:r>
            <w:r>
              <w:rPr>
                <w:rFonts w:eastAsia="Courier New" w:cs="Courier New" w:ascii="Courier New" w:hAnsi="Courier New"/>
                <w:color w:val="B42318"/>
                <w:sz w:val="18"/>
                <w:szCs w:val="18"/>
                <w:shd w:fill="F3F5F8" w:val="clear"/>
              </w:rPr>
              <w:t>openstack --os-cloud candace server start $VM_ID</w:t>
            </w:r>
            <w:r>
              <w:rPr>
                <w:sz w:val="20"/>
                <w:szCs w:val="20"/>
              </w:rPr>
              <w:t xml:space="preserve">. Sinon, le test suivant échoue avec une erreur </w:t>
            </w:r>
            <w:r>
              <w:rPr>
                <w:rFonts w:eastAsia="Courier New" w:cs="Courier New" w:ascii="Courier New" w:hAnsi="Courier New"/>
                <w:color w:val="B42318"/>
                <w:sz w:val="18"/>
                <w:szCs w:val="18"/>
                <w:shd w:fill="F3F5F8" w:val="clear"/>
              </w:rPr>
              <w:t>409 Conflict</w:t>
            </w:r>
            <w:r>
              <w:rPr>
                <w:sz w:val="20"/>
                <w:szCs w:val="20"/>
              </w:rPr>
              <w:t xml:space="preserve"> (VM déjà arrêtée), sans rapport avec les droits.</w:t>
            </w:r>
          </w:p>
        </w:tc>
      </w:tr>
    </w:tbl>
    <w:p>
      <w:pPr>
        <w:pStyle w:val="Normal"/>
        <w:spacing w:before="0" w:after="120"/>
        <w:rPr/>
      </w:pPr>
      <w:r>
        <w:rPr/>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Q12  </w:t>
      </w:r>
      <w:r>
        <w:rPr>
          <w:b w:val="false"/>
          <w:bCs w:val="false"/>
          <w:color w:val="0B2545"/>
        </w:rPr>
        <w:t>À partir du tableau, expliquez pourquoi baron obtient des 404, et ian des 403.</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t xml:space="preserve">Baron reçoit 404 car son token est lié au projet </w:t>
      </w:r>
      <w:r>
        <w:rPr>
          <w:b/>
          <w:bCs/>
        </w:rPr>
        <w:t>team-b</w:t>
      </w:r>
      <w:r>
        <w:rPr/>
        <w:t xml:space="preserve">, différent de </w:t>
      </w:r>
      <w:r>
        <w:rPr>
          <w:b/>
          <w:bCs/>
        </w:rPr>
        <w:t>team-a</w:t>
      </w:r>
      <w:r>
        <w:rPr/>
        <w:t xml:space="preserve"> où se trouvent les ressources de Candace. Les ressources d’un autre projet sont invisibles pour lui. Ian reçoit 403 car son token est lié à </w:t>
      </w:r>
      <w:r>
        <w:rPr>
          <w:b/>
          <w:bCs/>
        </w:rPr>
        <w:t>team-a</w:t>
      </w:r>
      <w:r>
        <w:rPr/>
        <w:t xml:space="preserve">, donc il voit les ressources, mais son rôle </w:t>
      </w:r>
      <w:r>
        <w:rPr>
          <w:b/>
          <w:bCs/>
        </w:rPr>
        <w:t>reader</w:t>
      </w:r>
      <w:r>
        <w:rPr/>
        <w:t xml:space="preserve"> ne lui donne pas les droits nécessaires pour les modifier ou en créer.</w:t>
      </w:r>
    </w:p>
    <w:p>
      <w:pPr>
        <w:pStyle w:val="Normal"/>
        <w:keepLines/>
        <w:spacing w:lineRule="auto" w:line="276" w:before="0" w:after="100"/>
        <w:rPr/>
      </w:pPr>
      <w:r>
        <w:rPr/>
        <w:t>En résumé : le projet contrôle la visibilité (404), tandis que le rôle contrôle les permissions (403).</w:t>
      </w:r>
    </w:p>
    <w:p>
      <w:pPr>
        <w:pStyle w:val="Normal"/>
        <w:keepLines/>
        <w:spacing w:lineRule="auto" w:line="276" w:before="0" w:after="100"/>
        <w:rPr/>
      </w:pPr>
      <w:r>
        <w:rPr/>
        <w:t xml:space="preserve">Nettoyage : chaque identité supprime les ressources de test qu’elle a créées. Conservez </w:t>
      </w:r>
      <w:r>
        <w:rPr>
          <w:rFonts w:eastAsia="Courier New" w:cs="Courier New" w:ascii="Courier New" w:hAnsi="Courier New"/>
          <w:color w:val="B42318"/>
          <w:sz w:val="19"/>
          <w:szCs w:val="19"/>
          <w:shd w:fill="F3F5F8" w:val="clear"/>
        </w:rPr>
        <w:t>vm-candace</w:t>
      </w:r>
      <w:r>
        <w:rPr/>
        <w:t xml:space="preserve"> et </w:t>
      </w:r>
      <w:r>
        <w:rPr>
          <w:rFonts w:eastAsia="Courier New" w:cs="Courier New" w:ascii="Courier New" w:hAnsi="Courier New"/>
          <w:color w:val="B42318"/>
          <w:sz w:val="19"/>
          <w:szCs w:val="19"/>
          <w:shd w:fill="F3F5F8" w:val="clear"/>
        </w:rPr>
        <w:t>net-candace</w:t>
      </w:r>
      <w:r>
        <w:rPr/>
        <w:t>, qui servent dans la suite.</w:t>
      </w:r>
    </w:p>
    <w:p>
      <w:pPr>
        <w:pStyle w:val="Normal"/>
        <w:keepNext w:val="true"/>
        <w:spacing w:before="140" w:after="40"/>
        <w:jc w:val="center"/>
        <w:rPr/>
      </w:pPr>
      <w:r>
        <w:rPr/>
        <w:drawing>
          <wp:inline distT="0" distB="0" distL="0" distR="0">
            <wp:extent cx="5810250" cy="2524125"/>
            <wp:effectExtent l="0" t="0" r="0" b="0"/>
            <wp:docPr id="57" name="fig57" descr="Figure 57&#10;Capture d'écran — Sec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ig57" descr="Figure 57&#10;Capture d'écran — Section 3.4"/>
                    <pic:cNvPicPr>
                      <a:picLocks noChangeAspect="1" noChangeArrowheads="1"/>
                    </pic:cNvPicPr>
                  </pic:nvPicPr>
                  <pic:blipFill>
                    <a:blip r:embed="rId58"/>
                    <a:stretch>
                      <a:fillRect/>
                    </a:stretch>
                  </pic:blipFill>
                  <pic:spPr bwMode="auto">
                    <a:xfrm>
                      <a:off x="0" y="0"/>
                      <a:ext cx="5810250" cy="25241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57 — Section 3.4</w:t>
      </w:r>
    </w:p>
    <w:p>
      <w:pPr>
        <w:pStyle w:val="Normal"/>
        <w:keepNext w:val="true"/>
        <w:spacing w:before="140" w:after="40"/>
        <w:jc w:val="center"/>
        <w:rPr/>
      </w:pPr>
      <w:r>
        <w:rPr/>
        <w:drawing>
          <wp:inline distT="0" distB="0" distL="0" distR="0">
            <wp:extent cx="5810250" cy="1666875"/>
            <wp:effectExtent l="0" t="0" r="0" b="0"/>
            <wp:docPr id="58" name="fig58" descr="Figure 58&#10;Capture d'écran — Sec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fig58" descr="Figure 58&#10;Capture d'écran — Section 3.4"/>
                    <pic:cNvPicPr>
                      <a:picLocks noChangeAspect="1" noChangeArrowheads="1"/>
                    </pic:cNvPicPr>
                  </pic:nvPicPr>
                  <pic:blipFill>
                    <a:blip r:embed="rId59"/>
                    <a:stretch>
                      <a:fillRect/>
                    </a:stretch>
                  </pic:blipFill>
                  <pic:spPr bwMode="auto">
                    <a:xfrm>
                      <a:off x="0" y="0"/>
                      <a:ext cx="5810250" cy="16668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58 — Section 3.4</w:t>
      </w:r>
    </w:p>
    <w:p>
      <w:pPr>
        <w:pStyle w:val="Normal"/>
        <w:keepNext w:val="true"/>
        <w:spacing w:before="140" w:after="40"/>
        <w:jc w:val="center"/>
        <w:rPr/>
      </w:pPr>
      <w:r>
        <w:rPr/>
        <w:drawing>
          <wp:inline distT="0" distB="0" distL="0" distR="0">
            <wp:extent cx="5810250" cy="1971675"/>
            <wp:effectExtent l="0" t="0" r="0" b="0"/>
            <wp:docPr id="59" name="fig59" descr="Figure 59&#10;Capture d'écran — Sec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ig59" descr="Figure 59&#10;Capture d'écran — Section 3.4"/>
                    <pic:cNvPicPr>
                      <a:picLocks noChangeAspect="1" noChangeArrowheads="1"/>
                    </pic:cNvPicPr>
                  </pic:nvPicPr>
                  <pic:blipFill>
                    <a:blip r:embed="rId60"/>
                    <a:stretch>
                      <a:fillRect/>
                    </a:stretch>
                  </pic:blipFill>
                  <pic:spPr bwMode="auto">
                    <a:xfrm>
                      <a:off x="0" y="0"/>
                      <a:ext cx="5810250" cy="197167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59 — Section 3.4</w:t>
      </w:r>
    </w:p>
    <w:p>
      <w:pPr>
        <w:pStyle w:val="Normal"/>
        <w:keepNext w:val="true"/>
        <w:spacing w:before="140" w:after="40"/>
        <w:jc w:val="center"/>
        <w:rPr/>
      </w:pPr>
      <w:r>
        <w:rPr/>
        <w:drawing>
          <wp:inline distT="0" distB="0" distL="0" distR="0">
            <wp:extent cx="5810250" cy="304800"/>
            <wp:effectExtent l="0" t="0" r="0" b="0"/>
            <wp:docPr id="60" name="fig60" descr="Figure 60&#10;Capture d'écran — Sec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fig60" descr="Figure 60&#10;Capture d'écran — Section 3.4"/>
                    <pic:cNvPicPr>
                      <a:picLocks noChangeAspect="1" noChangeArrowheads="1"/>
                    </pic:cNvPicPr>
                  </pic:nvPicPr>
                  <pic:blipFill>
                    <a:blip r:embed="rId61"/>
                    <a:stretch>
                      <a:fillRect/>
                    </a:stretch>
                  </pic:blipFill>
                  <pic:spPr bwMode="auto">
                    <a:xfrm>
                      <a:off x="0" y="0"/>
                      <a:ext cx="5810250" cy="3048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60 — Section 3.4</w:t>
      </w:r>
    </w:p>
    <w:p>
      <w:pPr>
        <w:pStyle w:val="Normal"/>
        <w:keepNext w:val="true"/>
        <w:spacing w:before="140" w:after="40"/>
        <w:jc w:val="center"/>
        <w:rPr/>
      </w:pPr>
      <w:r>
        <w:rPr/>
        <w:drawing>
          <wp:inline distT="0" distB="0" distL="0" distR="0">
            <wp:extent cx="5810250" cy="914400"/>
            <wp:effectExtent l="0" t="0" r="0" b="0"/>
            <wp:docPr id="61" name="fig61" descr="Figure 61&#10;Capture d'écran — Sec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ig61" descr="Figure 61&#10;Capture d'écran — Section 3.4"/>
                    <pic:cNvPicPr>
                      <a:picLocks noChangeAspect="1" noChangeArrowheads="1"/>
                    </pic:cNvPicPr>
                  </pic:nvPicPr>
                  <pic:blipFill>
                    <a:blip r:embed="rId62"/>
                    <a:stretch>
                      <a:fillRect/>
                    </a:stretch>
                  </pic:blipFill>
                  <pic:spPr bwMode="auto">
                    <a:xfrm>
                      <a:off x="0" y="0"/>
                      <a:ext cx="5810250" cy="9144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61 — Section 3.4</w:t>
      </w:r>
    </w:p>
    <w:p>
      <w:pPr>
        <w:pStyle w:val="Normal"/>
        <w:keepNext w:val="true"/>
        <w:spacing w:before="140" w:after="40"/>
        <w:jc w:val="center"/>
        <w:rPr/>
      </w:pPr>
      <w:r>
        <w:rPr/>
        <w:drawing>
          <wp:inline distT="0" distB="0" distL="0" distR="0">
            <wp:extent cx="5810250" cy="400050"/>
            <wp:effectExtent l="0" t="0" r="0" b="0"/>
            <wp:docPr id="62" name="fig62" descr="Figure 62&#10;Capture d'écran — Sec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g62" descr="Figure 62&#10;Capture d'écran — Section 3.4"/>
                    <pic:cNvPicPr>
                      <a:picLocks noChangeAspect="1" noChangeArrowheads="1"/>
                    </pic:cNvPicPr>
                  </pic:nvPicPr>
                  <pic:blipFill>
                    <a:blip r:embed="rId63"/>
                    <a:stretch>
                      <a:fillRect/>
                    </a:stretch>
                  </pic:blipFill>
                  <pic:spPr bwMode="auto">
                    <a:xfrm>
                      <a:off x="0" y="0"/>
                      <a:ext cx="5810250" cy="4000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62 — Section 3.4</w:t>
      </w:r>
    </w:p>
    <w:p>
      <w:pPr>
        <w:pStyle w:val="Normal"/>
        <w:keepNext w:val="true"/>
        <w:spacing w:before="140" w:after="40"/>
        <w:jc w:val="center"/>
        <w:rPr/>
      </w:pPr>
      <w:r>
        <w:rPr/>
        <w:drawing>
          <wp:inline distT="0" distB="0" distL="0" distR="0">
            <wp:extent cx="5810250" cy="3105150"/>
            <wp:effectExtent l="0" t="0" r="0" b="0"/>
            <wp:docPr id="63" name="fig63" descr="Figure 63&#10;Capture d'écran — Sec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ig63" descr="Figure 63&#10;Capture d'écran — Section 3.4"/>
                    <pic:cNvPicPr>
                      <a:picLocks noChangeAspect="1" noChangeArrowheads="1"/>
                    </pic:cNvPicPr>
                  </pic:nvPicPr>
                  <pic:blipFill>
                    <a:blip r:embed="rId64"/>
                    <a:stretch>
                      <a:fillRect/>
                    </a:stretch>
                  </pic:blipFill>
                  <pic:spPr bwMode="auto">
                    <a:xfrm>
                      <a:off x="0" y="0"/>
                      <a:ext cx="5810250" cy="310515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63 — Section 3.4</w:t>
      </w:r>
    </w:p>
    <w:p>
      <w:pPr>
        <w:pStyle w:val="Normal"/>
        <w:keepNext w:val="true"/>
        <w:spacing w:before="140" w:after="40"/>
        <w:jc w:val="center"/>
        <w:rPr/>
      </w:pPr>
      <w:r>
        <w:rPr/>
        <w:drawing>
          <wp:inline distT="0" distB="0" distL="0" distR="0">
            <wp:extent cx="5810250" cy="2667000"/>
            <wp:effectExtent l="0" t="0" r="0" b="0"/>
            <wp:docPr id="64" name="fig64" descr="Figure 64&#10;Capture d'écran — Sec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ig64" descr="Figure 64&#10;Capture d'écran — Section 3.4"/>
                    <pic:cNvPicPr>
                      <a:picLocks noChangeAspect="1" noChangeArrowheads="1"/>
                    </pic:cNvPicPr>
                  </pic:nvPicPr>
                  <pic:blipFill>
                    <a:blip r:embed="rId65"/>
                    <a:stretch>
                      <a:fillRect/>
                    </a:stretch>
                  </pic:blipFill>
                  <pic:spPr bwMode="auto">
                    <a:xfrm>
                      <a:off x="0" y="0"/>
                      <a:ext cx="5810250" cy="26670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64 — Section 3.4</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admin   server delete vm-test-admin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candace server delete vm-test-candace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baron   server delete vm-test-baron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admin   network delete net-test-admin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candace network delete net-test-candace</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baron   network delete net-test-baron</w:t>
      </w:r>
    </w:p>
    <w:p>
      <w:pPr>
        <w:pStyle w:val="Normal"/>
        <w:keepNext w:val="true"/>
        <w:keepLines/>
        <w:pBdr>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 xml:space="preserve"> </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--os-cloud admin flavor delete test-flavor</w:t>
      </w:r>
    </w:p>
    <w:p>
      <w:pPr>
        <w:pStyle w:val="Normal"/>
        <w:keepNext w:val="true"/>
        <w:spacing w:before="140" w:after="40"/>
        <w:jc w:val="center"/>
        <w:rPr/>
      </w:pPr>
      <w:r>
        <w:rPr/>
        <w:drawing>
          <wp:inline distT="0" distB="0" distL="0" distR="0">
            <wp:extent cx="5810250" cy="733425"/>
            <wp:effectExtent l="0" t="0" r="0" b="0"/>
            <wp:docPr id="65" name="fig65" descr="Figure 65&#10;Capture d'écran — Sec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ig65" descr="Figure 65&#10;Capture d'écran — Section 3.4"/>
                    <pic:cNvPicPr>
                      <a:picLocks noChangeAspect="1" noChangeArrowheads="1"/>
                    </pic:cNvPicPr>
                  </pic:nvPicPr>
                  <pic:blipFill>
                    <a:blip r:embed="rId66"/>
                    <a:stretch>
                      <a:fillRect/>
                    </a:stretch>
                  </pic:blipFill>
                  <pic:spPr bwMode="auto">
                    <a:xfrm>
                      <a:off x="0" y="0"/>
                      <a:ext cx="5810250" cy="7334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65 — Section 3.4</w:t>
      </w:r>
    </w:p>
    <w:p>
      <w:pPr>
        <w:pStyle w:val="Heading2"/>
        <w:rPr/>
      </w:pPr>
      <w:bookmarkStart w:id="21" w:name="__RefHeading___Toc1594_1376105353"/>
      <w:bookmarkEnd w:id="21"/>
      <w:r>
        <w:rPr/>
        <w:t>3.5 Le cas d'admin : voir tous les projets</w:t>
      </w:r>
    </w:p>
    <w:p>
      <w:pPr>
        <w:pStyle w:val="Normal"/>
        <w:keepLines/>
        <w:spacing w:lineRule="auto" w:line="276" w:before="0" w:after="100"/>
        <w:rPr/>
      </w:pPr>
      <w:r>
        <w:rPr/>
        <w:t xml:space="preserve">Admin a le rôle </w:t>
      </w:r>
      <w:r>
        <w:rPr>
          <w:rFonts w:eastAsia="Courier New" w:cs="Courier New" w:ascii="Courier New" w:hAnsi="Courier New"/>
          <w:color w:val="B42318"/>
          <w:sz w:val="19"/>
          <w:szCs w:val="19"/>
          <w:shd w:fill="F3F5F8" w:val="clear"/>
        </w:rPr>
        <w:t>admin</w:t>
      </w:r>
      <w:r>
        <w:rPr/>
        <w:t>, qui lui permet d’administrer tout le cloud. Voit-il pour autant les ressources de tous les projets ?</w:t>
      </w:r>
    </w:p>
    <w:p>
      <w:pPr>
        <w:pStyle w:val="Normal"/>
        <w:keepNext w:val="true"/>
        <w:pBdr>
          <w:left w:val="single" w:sz="18" w:space="8" w:color="0F9D8F"/>
        </w:pBdr>
        <w:shd w:val="clear" w:color="auto" w:fill="E8F6F4"/>
        <w:spacing w:before="120" w:after="80"/>
        <w:ind w:left="200"/>
        <w:rPr/>
      </w:pPr>
      <w:r>
        <w:rPr>
          <w:color w:val="6B7280"/>
          <w:sz w:val="20"/>
          <w:szCs w:val="20"/>
        </w:rPr>
        <w:t xml:space="preserve">Identité utilisée : </w:t>
      </w:r>
      <w:r>
        <w:rPr>
          <w:rFonts w:eastAsia="Courier New" w:cs="Courier New" w:ascii="Courier New" w:hAnsi="Courier New"/>
          <w:b/>
          <w:bCs/>
          <w:color w:val="0B7A70"/>
          <w:sz w:val="20"/>
          <w:szCs w:val="20"/>
        </w:rPr>
        <w:t>admin</w:t>
      </w:r>
    </w:p>
    <w:p>
      <w:pPr>
        <w:pStyle w:val="Normal"/>
        <w:keepLines/>
        <w:spacing w:lineRule="auto" w:line="276" w:before="0" w:after="100"/>
        <w:rPr/>
      </w:pPr>
      <w:r>
        <w:rPr/>
        <w:t>Lancez ces deux commandes et comparez :</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admin server list</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--os-cloud admin server list --all-projects</w:t>
      </w:r>
    </w:p>
    <w:p>
      <w:pPr>
        <w:pStyle w:val="Normal"/>
        <w:keepNext w:val="true"/>
        <w:spacing w:before="140" w:after="40"/>
        <w:jc w:val="center"/>
        <w:rPr/>
      </w:pPr>
      <w:r>
        <w:rPr/>
        <w:drawing>
          <wp:inline distT="0" distB="0" distL="0" distR="0">
            <wp:extent cx="5810250" cy="733425"/>
            <wp:effectExtent l="0" t="0" r="0" b="0"/>
            <wp:docPr id="66" name="fig66" descr="Figure 66&#10;Capture d'écran — Sectio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ig66" descr="Figure 66&#10;Capture d'écran — Section 3.5"/>
                    <pic:cNvPicPr>
                      <a:picLocks noChangeAspect="1" noChangeArrowheads="1"/>
                    </pic:cNvPicPr>
                  </pic:nvPicPr>
                  <pic:blipFill>
                    <a:blip r:embed="rId67"/>
                    <a:stretch>
                      <a:fillRect/>
                    </a:stretch>
                  </pic:blipFill>
                  <pic:spPr bwMode="auto">
                    <a:xfrm>
                      <a:off x="0" y="0"/>
                      <a:ext cx="5810250" cy="7334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66 — Section 3.5</w:t>
      </w:r>
    </w:p>
    <w:p>
      <w:pPr>
        <w:pStyle w:val="Normal"/>
        <w:keepNext w:val="true"/>
        <w:spacing w:before="140" w:after="40"/>
        <w:jc w:val="center"/>
        <w:rPr/>
      </w:pPr>
      <w:r>
        <w:rPr/>
        <w:drawing>
          <wp:inline distT="0" distB="0" distL="0" distR="0">
            <wp:extent cx="5810250" cy="1343025"/>
            <wp:effectExtent l="0" t="0" r="0" b="0"/>
            <wp:docPr id="67" name="fig67" descr="Figure 67&#10;Capture d'écran — Sectio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fig67" descr="Figure 67&#10;Capture d'écran — Section 3.5"/>
                    <pic:cNvPicPr>
                      <a:picLocks noChangeAspect="1" noChangeArrowheads="1"/>
                    </pic:cNvPicPr>
                  </pic:nvPicPr>
                  <pic:blipFill>
                    <a:blip r:embed="rId68"/>
                    <a:stretch>
                      <a:fillRect/>
                    </a:stretch>
                  </pic:blipFill>
                  <pic:spPr bwMode="auto">
                    <a:xfrm>
                      <a:off x="0" y="0"/>
                      <a:ext cx="5810250" cy="1343025"/>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67 — Section 3.5</w:t>
      </w:r>
    </w:p>
    <w:p>
      <w:pPr>
        <w:pStyle w:val="Normal"/>
        <w:keepLines/>
        <w:spacing w:lineRule="auto" w:line="276" w:before="0" w:after="100"/>
        <w:rPr/>
      </w:pPr>
      <w:r>
        <w:rPr/>
        <w:t>Affichez ensuite le projet auquel le jeton d’admin est lié :</w:t>
      </w:r>
    </w:p>
    <w:p>
      <w:pPr>
        <w:pStyle w:val="Normal"/>
        <w:keepNext w:val="true"/>
        <w:keepLines/>
        <w:pBdr>
          <w:top w:val="single" w:sz="6" w:space="4" w:color="F3F5F8"/>
          <w:left w:val="single" w:sz="24" w:space="8" w:color="0B2545"/>
        </w:pBdr>
        <w:shd w:val="clear" w:color="auto" w:fill="F3F5F8"/>
        <w:spacing w:lineRule="auto" w:line="249" w:before="0" w:after="0"/>
        <w:ind w:left="200" w:right="60"/>
        <w:rPr/>
      </w:pPr>
      <w:r>
        <w:rPr>
          <w:rFonts w:eastAsia="Courier New" w:cs="Courier New" w:ascii="Courier New" w:hAnsi="Courier New"/>
          <w:color w:val="111827"/>
          <w:sz w:val="17"/>
          <w:szCs w:val="17"/>
        </w:rPr>
        <w:t>openstack --os-cloud admin token issue -c project_id</w:t>
      </w:r>
    </w:p>
    <w:p>
      <w:pPr>
        <w:pStyle w:val="Normal"/>
        <w:keepNext w:val="false"/>
        <w:keepLines/>
        <w:pBdr>
          <w:left w:val="single" w:sz="24" w:space="8" w:color="0B2545"/>
          <w:bottom w:val="single" w:sz="6" w:space="4" w:color="F3F5F8"/>
        </w:pBdr>
        <w:shd w:val="clear" w:color="auto" w:fill="F3F5F8"/>
        <w:spacing w:lineRule="auto" w:line="249" w:before="0" w:after="160"/>
        <w:ind w:left="200" w:right="60"/>
        <w:rPr/>
      </w:pPr>
      <w:r>
        <w:rPr>
          <w:rFonts w:eastAsia="Courier New" w:cs="Courier New" w:ascii="Courier New" w:hAnsi="Courier New"/>
          <w:color w:val="111827"/>
          <w:sz w:val="17"/>
          <w:szCs w:val="17"/>
        </w:rPr>
        <w:t>openstack --os-cloud admin project list</w:t>
      </w:r>
    </w:p>
    <w:p>
      <w:pPr>
        <w:pStyle w:val="Normal"/>
        <w:keepNext w:val="true"/>
        <w:spacing w:before="140" w:after="40"/>
        <w:jc w:val="center"/>
        <w:rPr/>
      </w:pPr>
      <w:r>
        <w:rPr/>
        <w:drawing>
          <wp:inline distT="0" distB="0" distL="0" distR="0">
            <wp:extent cx="5810250" cy="2019300"/>
            <wp:effectExtent l="0" t="0" r="0" b="0"/>
            <wp:docPr id="68" name="fig68" descr="Figure 68&#10;Capture d'écran — Sectio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fig68" descr="Figure 68&#10;Capture d'écran — Section 3.5"/>
                    <pic:cNvPicPr>
                      <a:picLocks noChangeAspect="1" noChangeArrowheads="1"/>
                    </pic:cNvPicPr>
                  </pic:nvPicPr>
                  <pic:blipFill>
                    <a:blip r:embed="rId69"/>
                    <a:stretch>
                      <a:fillRect/>
                    </a:stretch>
                  </pic:blipFill>
                  <pic:spPr bwMode="auto">
                    <a:xfrm>
                      <a:off x="0" y="0"/>
                      <a:ext cx="5810250" cy="2019300"/>
                    </a:xfrm>
                    <a:prstGeom prst="rect">
                      <a:avLst/>
                    </a:prstGeom>
                  </pic:spPr>
                </pic:pic>
              </a:graphicData>
            </a:graphic>
          </wp:inline>
        </w:drawing>
      </w:r>
    </w:p>
    <w:p>
      <w:pPr>
        <w:pStyle w:val="Normal"/>
        <w:spacing w:before="0" w:after="160"/>
        <w:jc w:val="center"/>
        <w:rPr/>
      </w:pPr>
      <w:r>
        <w:rPr>
          <w:rFonts w:eastAsia="Calibri" w:cs="Calibri"/>
          <w:i/>
          <w:iCs/>
          <w:color w:val="6B7280"/>
          <w:sz w:val="17"/>
          <w:szCs w:val="17"/>
        </w:rPr>
        <w:t>Figure 68 — Section 3.5</w:t>
      </w:r>
    </w:p>
    <w:p>
      <w:pPr>
        <w:pStyle w:val="Normal"/>
        <w:keepNext w:val="true"/>
        <w:keepLines/>
        <w:pBdr>
          <w:top w:val="single" w:sz="6" w:space="4" w:color="EAF0F7"/>
          <w:left w:val="single" w:sz="24" w:space="8" w:color="0B2545"/>
          <w:bottom w:val="single" w:sz="6" w:space="4" w:color="EAF0F7"/>
        </w:pBdr>
        <w:shd w:val="clear" w:color="auto" w:fill="EAF0F7"/>
        <w:spacing w:lineRule="auto" w:line="276" w:before="220" w:after="80"/>
        <w:ind w:left="200" w:right="60"/>
        <w:rPr/>
      </w:pPr>
      <w:r>
        <w:rPr>
          <w:rFonts w:eastAsia="Calibri" w:cs="Calibri"/>
          <w:b/>
          <w:bCs/>
          <w:color w:val="0B2545"/>
          <w:sz w:val="23"/>
          <w:szCs w:val="23"/>
        </w:rPr>
        <w:t xml:space="preserve">Q13  </w:t>
      </w:r>
      <w:r>
        <w:rPr>
          <w:rFonts w:eastAsia="Courier New" w:cs="Courier New" w:ascii="Courier New" w:hAnsi="Courier New"/>
          <w:b w:val="false"/>
          <w:bCs w:val="false"/>
          <w:color w:val="B42318"/>
          <w:sz w:val="19"/>
          <w:szCs w:val="19"/>
          <w:shd w:fill="F3F5F8" w:val="clear"/>
        </w:rPr>
        <w:t>vm-candace</w:t>
      </w:r>
      <w:r>
        <w:rPr>
          <w:b w:val="false"/>
          <w:bCs w:val="false"/>
          <w:color w:val="0B2545"/>
        </w:rPr>
        <w:t xml:space="preserve"> apparaît-elle dans les deux listes ? À quel projet le jeton d’admin est-il lié ? Expliquez pourquoi admin ne voit pas </w:t>
      </w:r>
      <w:r>
        <w:rPr>
          <w:rFonts w:eastAsia="Courier New" w:cs="Courier New" w:ascii="Courier New" w:hAnsi="Courier New"/>
          <w:b w:val="false"/>
          <w:bCs w:val="false"/>
          <w:color w:val="B42318"/>
          <w:sz w:val="19"/>
          <w:szCs w:val="19"/>
          <w:shd w:fill="F3F5F8" w:val="clear"/>
        </w:rPr>
        <w:t>vm-candace</w:t>
      </w:r>
      <w:r>
        <w:rPr>
          <w:b w:val="false"/>
          <w:bCs w:val="false"/>
          <w:color w:val="0B2545"/>
        </w:rPr>
        <w:t xml:space="preserve"> sans </w:t>
      </w:r>
      <w:r>
        <w:rPr>
          <w:rFonts w:eastAsia="Courier New" w:cs="Courier New" w:ascii="Courier New" w:hAnsi="Courier New"/>
          <w:b w:val="false"/>
          <w:bCs w:val="false"/>
          <w:color w:val="B42318"/>
          <w:sz w:val="19"/>
          <w:szCs w:val="19"/>
          <w:shd w:fill="F3F5F8" w:val="clear"/>
        </w:rPr>
        <w:t>--all-projects</w:t>
      </w:r>
      <w:r>
        <w:rPr>
          <w:b w:val="false"/>
          <w:bCs w:val="false"/>
          <w:color w:val="0B2545"/>
        </w:rPr>
        <w:t xml:space="preserve">, alors qu’il a le rôle </w:t>
      </w:r>
      <w:r>
        <w:rPr>
          <w:rFonts w:eastAsia="Courier New" w:cs="Courier New" w:ascii="Courier New" w:hAnsi="Courier New"/>
          <w:b w:val="false"/>
          <w:bCs w:val="false"/>
          <w:color w:val="B42318"/>
          <w:sz w:val="19"/>
          <w:szCs w:val="19"/>
          <w:shd w:fill="F3F5F8" w:val="clear"/>
        </w:rPr>
        <w:t>admin</w:t>
      </w:r>
      <w:r>
        <w:rPr>
          <w:b w:val="false"/>
          <w:bCs w:val="false"/>
          <w:color w:val="0B2545"/>
        </w:rPr>
        <w:t>.</w:t>
      </w:r>
    </w:p>
    <w:p>
      <w:pPr>
        <w:pStyle w:val="Normal"/>
        <w:keepNext w:val="true"/>
        <w:spacing w:before="80" w:after="40"/>
        <w:rPr/>
      </w:pPr>
      <w:r>
        <w:rPr>
          <w:rFonts w:eastAsia="Calibri" w:cs="Calibri"/>
          <w:b/>
          <w:bCs/>
          <w:color w:val="0B7A70"/>
          <w:spacing w:val="30"/>
          <w:sz w:val="16"/>
          <w:szCs w:val="16"/>
        </w:rPr>
        <w:t>RÉPONSE</w:t>
      </w:r>
    </w:p>
    <w:p>
      <w:pPr>
        <w:pStyle w:val="Normal"/>
        <w:keepLines/>
        <w:spacing w:lineRule="auto" w:line="276" w:before="0" w:after="100"/>
        <w:rPr/>
      </w:pPr>
      <w:r>
        <w:rPr>
          <w:b/>
          <w:bCs/>
        </w:rPr>
        <w:t>vm-candace</w:t>
      </w:r>
      <w:r>
        <w:rPr/>
        <w:t xml:space="preserve"> n’apparaît pas dans </w:t>
      </w:r>
      <w:r>
        <w:rPr>
          <w:b/>
          <w:bCs/>
        </w:rPr>
        <w:t>server list</w:t>
      </w:r>
      <w:r>
        <w:rPr/>
        <w:t xml:space="preserve"> car le token d’admin est lié au projet </w:t>
      </w:r>
      <w:r>
        <w:rPr>
          <w:b/>
          <w:bCs/>
        </w:rPr>
        <w:t>admin</w:t>
      </w:r>
      <w:r>
        <w:rPr/>
        <w:t xml:space="preserve">, alors que la VM appartient au projet </w:t>
      </w:r>
      <w:r>
        <w:rPr>
          <w:b/>
          <w:bCs/>
        </w:rPr>
        <w:t>team-a</w:t>
      </w:r>
      <w:r>
        <w:rPr/>
        <w:t xml:space="preserve">. Le rôle </w:t>
      </w:r>
      <w:r>
        <w:rPr>
          <w:b/>
          <w:bCs/>
        </w:rPr>
        <w:t>admin</w:t>
      </w:r>
      <w:r>
        <w:rPr/>
        <w:t xml:space="preserve"> donne les droits d’administration, mais ne change pas automatiquement le projet auquel le token est lié. L’option </w:t>
      </w:r>
      <w:r>
        <w:rPr>
          <w:b/>
          <w:bCs/>
        </w:rPr>
        <w:t>--all-projects</w:t>
      </w:r>
      <w:r>
        <w:rPr/>
        <w:t xml:space="preserve"> permet à admin de demander les ressources de tous les projets ; </w:t>
      </w:r>
      <w:r>
        <w:rPr>
          <w:b/>
          <w:bCs/>
        </w:rPr>
        <w:t>vm-candace</w:t>
      </w:r>
      <w:r>
        <w:rPr/>
        <w:t xml:space="preserve"> apparaît alors dans la liste.</w:t>
      </w:r>
    </w:p>
    <w:p>
      <w:pPr>
        <w:pStyle w:val="Normal"/>
        <w:keepLines/>
        <w:spacing w:lineRule="auto" w:line="276" w:before="0" w:after="100"/>
        <w:rPr/>
      </w:pPr>
      <w:r>
        <w:rPr/>
        <w:t xml:space="preserve">Donc : rôle </w:t>
      </w:r>
      <w:r>
        <w:rPr>
          <w:b/>
          <w:bCs/>
        </w:rPr>
        <w:t>admin</w:t>
      </w:r>
      <w:r>
        <w:rPr/>
        <w:t xml:space="preserve"> ≠ automatiquement visibilité de tous les projets. Le token reste lié à un projet, et </w:t>
      </w:r>
      <w:r>
        <w:rPr>
          <w:b/>
          <w:bCs/>
        </w:rPr>
        <w:t>--all-projects</w:t>
      </w:r>
      <w:r>
        <w:rPr/>
        <w:t xml:space="preserve"> permet d’élargir la recherche à tous les projets.</w:t>
      </w:r>
    </w:p>
    <w:sectPr>
      <w:headerReference w:type="even" r:id="rId70"/>
      <w:headerReference w:type="default" r:id="rId71"/>
      <w:headerReference w:type="first" r:id="rId72"/>
      <w:footerReference w:type="even" r:id="rId73"/>
      <w:footerReference w:type="default" r:id="rId74"/>
      <w:footerReference w:type="first" r:id="rId75"/>
      <w:type w:val="nextPage"/>
      <w:pgSz w:w="11906" w:h="16838"/>
      <w:pgMar w:left="1134" w:right="1134" w:gutter="0" w:header="567" w:top="1304" w:footer="510" w:bottom="1134"/>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8DEE6"/>
      </w:pBdr>
      <w:tabs>
        <w:tab w:val="clear" w:pos="720"/>
        <w:tab w:val="right" w:pos="9638" w:leader="none"/>
      </w:tabs>
      <w:rPr/>
    </w:pPr>
    <w:r>
      <w:rPr>
        <w:rFonts w:eastAsia="Calibri" w:cs="Calibri"/>
        <w:color w:val="6B7280"/>
        <w:sz w:val="17"/>
        <w:szCs w:val="17"/>
      </w:rPr>
      <w:t>TEK-UP University · Infrastructures cloud natives</w:t>
      <w:tab/>
      <w:t xml:space="preserve">Page </w:t>
    </w:r>
    <w:r>
      <w:rPr/>
      <w:fldChar w:fldCharType="begin"/>
    </w:r>
    <w:r>
      <w:rPr/>
      <w:instrText xml:space="preserve"> PAGE </w:instrText>
    </w:r>
    <w:r>
      <w:rPr/>
      <w:fldChar w:fldCharType="separate"/>
    </w:r>
    <w:r>
      <w:rPr/>
      <w:t>34</w:t>
    </w:r>
    <w:r>
      <w:rPr/>
      <w:fldChar w:fldCharType="end"/>
    </w:r>
    <w:r>
      <w:rPr>
        <w:rFonts w:eastAsia="Calibri" w:cs="Calibri"/>
        <w:color w:val="6B7280"/>
        <w:sz w:val="17"/>
        <w:szCs w:val="17"/>
      </w:rPr>
      <w:t xml:space="preserve"> sur </w:t>
    </w:r>
    <w:r>
      <w:rPr/>
      <w:fldChar w:fldCharType="begin"/>
    </w:r>
    <w:r>
      <w:rPr/>
      <w:instrText xml:space="preserve"> NUMPAGES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8DEE6"/>
      </w:pBdr>
      <w:tabs>
        <w:tab w:val="clear" w:pos="720"/>
        <w:tab w:val="right" w:pos="9638" w:leader="none"/>
      </w:tabs>
      <w:rPr/>
    </w:pPr>
    <w:r>
      <w:rPr>
        <w:rFonts w:eastAsia="Calibri" w:cs="Calibri"/>
        <w:color w:val="6B7280"/>
        <w:sz w:val="17"/>
        <w:szCs w:val="17"/>
      </w:rPr>
      <w:t>Compte rendu — TP02 · OpenStack Identity (Keystone)</w:t>
      <w:tab/>
      <w:t>Ons Ajmi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00" w:hanging="260"/>
      </w:pPr>
      <w:rPr>
        <w:rFonts w:ascii="Symbol" w:hAnsi="Symbol" w:cs="Symbol" w:hint="default"/>
        <w:b/>
        <w:bCs/>
        <w:color w:val="0F9D8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00" w:hanging="300"/>
      </w:pPr>
      <w:rPr>
        <w:b/>
        <w:bCs/>
        <w:color w:val="0B7A7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00" w:hanging="300"/>
      </w:pPr>
      <w:rPr>
        <w:b/>
        <w:bCs/>
        <w:color w:val="0B7A7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2937"/>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1F2937"/>
      <w:kern w:val="0"/>
      <w:sz w:val="21"/>
      <w:szCs w:val="21"/>
      <w:lang w:val="en-US" w:eastAsia="zh-CN" w:bidi="hi-IN"/>
    </w:rPr>
  </w:style>
  <w:style w:type="paragraph" w:styleId="Heading1">
    <w:name w:val="Heading 1"/>
    <w:basedOn w:val="Heading"/>
    <w:qFormat/>
    <w:pPr>
      <w:keepNext w:val="true"/>
      <w:pageBreakBefore/>
      <w:pBdr>
        <w:bottom w:val="single" w:sz="12" w:space="6" w:color="0F9D8F"/>
      </w:pBdr>
      <w:spacing w:before="0" w:after="200"/>
      <w:outlineLvl w:val="0"/>
    </w:pPr>
    <w:rPr>
      <w:rFonts w:ascii="Calibri" w:hAnsi="Calibri" w:eastAsia="Calibri" w:cs="Calibri"/>
      <w:b/>
      <w:bCs/>
      <w:color w:val="0B2545"/>
      <w:sz w:val="40"/>
      <w:szCs w:val="40"/>
    </w:rPr>
  </w:style>
  <w:style w:type="paragraph" w:styleId="Heading2">
    <w:name w:val="Heading 2"/>
    <w:basedOn w:val="Heading"/>
    <w:qFormat/>
    <w:pPr>
      <w:keepNext w:val="true"/>
      <w:spacing w:before="360" w:after="120"/>
      <w:outlineLvl w:val="1"/>
    </w:pPr>
    <w:rPr>
      <w:rFonts w:ascii="Calibri" w:hAnsi="Calibri" w:eastAsia="Calibri" w:cs="Calibri"/>
      <w:b/>
      <w:bCs/>
      <w:color w:val="0B7A70"/>
      <w:sz w:val="29"/>
      <w:szCs w:val="29"/>
    </w:rPr>
  </w:style>
  <w:style w:type="paragraph" w:styleId="Heading3">
    <w:name w:val="Heading 3"/>
    <w:basedOn w:val="Heading"/>
    <w:qFormat/>
    <w:pPr>
      <w:keepNext w:val="true"/>
      <w:spacing w:before="260" w:after="100"/>
      <w:outlineLvl w:val="2"/>
    </w:pPr>
    <w:rPr>
      <w:rFonts w:ascii="Calibri" w:hAnsi="Calibri" w:eastAsia="Calibri" w:cs="Calibri"/>
      <w:b/>
      <w:bCs/>
      <w:color w:val="0B2545"/>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1F2937"/>
      <w:kern w:val="0"/>
      <w:sz w:val="21"/>
      <w:szCs w:val="21"/>
      <w:lang w:val="en-U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1F2937"/>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spacing w:before="160" w:after="40"/>
    </w:pPr>
    <w:rPr>
      <w:b/>
      <w:bCs/>
      <w:color w:val="0B2545"/>
      <w:sz w:val="22"/>
      <w:szCs w:val="22"/>
    </w:rPr>
  </w:style>
  <w:style w:type="paragraph" w:styleId="TOC2">
    <w:name w:val="TOC 2"/>
    <w:basedOn w:val="Index"/>
    <w:pPr>
      <w:spacing w:before="20" w:after="20"/>
      <w:ind w:left="240"/>
    </w:pPr>
    <w:rPr>
      <w:sz w:val="21"/>
      <w:szCs w:val="21"/>
    </w:rPr>
  </w:style>
  <w:style w:type="paragraph" w:styleId="TOC3">
    <w:name w:val="TOC 3"/>
    <w:basedOn w:val="Index"/>
    <w:pPr>
      <w:spacing w:before="0" w:after="0"/>
      <w:ind w:left="520"/>
    </w:pPr>
    <w:rPr>
      <w:color w:val="374151"/>
      <w:sz w:val="19"/>
      <w:szCs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header" Target="header1.xml"/><Relationship Id="rId71" Type="http://schemas.openxmlformats.org/officeDocument/2006/relationships/header" Target="header2.xml"/><Relationship Id="rId72" Type="http://schemas.openxmlformats.org/officeDocument/2006/relationships/header" Target="header3.xml"/><Relationship Id="rId73" Type="http://schemas.openxmlformats.org/officeDocument/2006/relationships/footer" Target="footer1.xml"/><Relationship Id="rId74" Type="http://schemas.openxmlformats.org/officeDocument/2006/relationships/footer" Target="footer2.xml"/><Relationship Id="rId75" Type="http://schemas.openxmlformats.org/officeDocument/2006/relationships/footer" Target="footer3.xml"/><Relationship Id="rId76" Type="http://schemas.openxmlformats.org/officeDocument/2006/relationships/numbering" Target="numbering.xml"/><Relationship Id="rId77" Type="http://schemas.openxmlformats.org/officeDocument/2006/relationships/fontTable" Target="fontTable.xml"/><Relationship Id="rId78" Type="http://schemas.openxmlformats.org/officeDocument/2006/relationships/settings" Target="settings.xml"/><Relationship Id="rId7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2026-10-07T18:09:39Z</dcterms:created>
  <dc:creator>Ons Ajmi</dc:creator>
  <dc:description>Parties 1 à 3 : API REST, projets, utilisateurs, rôles, isolation et contrôle d’accès</dc:description>
  <dc:language>en-US</dc:language>
  <cp:lastModifiedBy/>
  <dcterms:modified xsi:type="dcterms:W3CDTF">2026-10-07T18:09:41Z</dcterms:modified>
  <cp:revision>2</cp:revision>
  <dc:subject/>
  <dc:title>Compte rendu TP02 — OpenStack Identity (Keystone)</dc:title>
</cp:coreProperties>
</file>